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E94" w:rsidRPr="00F81E94" w:rsidRDefault="005355DE" w:rsidP="00F81E94">
      <w:pPr>
        <w:rPr>
          <w:rFonts w:ascii="Arial Mäori" w:eastAsia="Calibri" w:hAnsi="Arial Mäori" w:cs="Times New Roman"/>
          <w:sz w:val="28"/>
          <w:szCs w:val="28"/>
          <w:lang w:eastAsia="en-US"/>
        </w:rPr>
      </w:pPr>
      <w:r>
        <w:t xml:space="preserve"> </w:t>
      </w:r>
      <w:r w:rsidR="00F81E94">
        <w:rPr>
          <w:rFonts w:ascii="Arial Mäori" w:eastAsia="Calibri" w:hAnsi="Arial Mäori" w:cs="Times New Roman"/>
          <w:sz w:val="28"/>
          <w:szCs w:val="28"/>
          <w:lang w:eastAsia="en-US"/>
        </w:rPr>
        <w:t>2017</w:t>
      </w:r>
      <w:r w:rsidR="00F81E94" w:rsidRPr="00F81E94">
        <w:rPr>
          <w:rFonts w:ascii="Arial Mäori" w:eastAsia="Calibri" w:hAnsi="Arial Mäori" w:cs="Times New Roman"/>
          <w:sz w:val="28"/>
          <w:szCs w:val="28"/>
          <w:lang w:eastAsia="en-US"/>
        </w:rPr>
        <w:t xml:space="preserve"> Business of Ageing </w:t>
      </w:r>
      <w:r w:rsidR="00A054CF">
        <w:rPr>
          <w:rFonts w:ascii="Arial Mäori" w:eastAsia="Calibri" w:hAnsi="Arial Mäori" w:cs="Times New Roman"/>
          <w:sz w:val="28"/>
          <w:szCs w:val="28"/>
          <w:lang w:eastAsia="en-US"/>
        </w:rPr>
        <w:t xml:space="preserve">Update: </w:t>
      </w:r>
      <w:r w:rsidR="00765104">
        <w:rPr>
          <w:rFonts w:ascii="Arial Mäori" w:eastAsia="Calibri" w:hAnsi="Arial Mäori" w:cs="Times New Roman"/>
          <w:sz w:val="28"/>
          <w:szCs w:val="28"/>
          <w:lang w:eastAsia="en-US"/>
        </w:rPr>
        <w:t xml:space="preserve">October </w:t>
      </w:r>
      <w:r w:rsidR="00F81E94">
        <w:rPr>
          <w:rFonts w:ascii="Arial Mäori" w:eastAsia="Calibri" w:hAnsi="Arial Mäori" w:cs="Times New Roman"/>
          <w:sz w:val="28"/>
          <w:szCs w:val="28"/>
          <w:lang w:eastAsia="en-US"/>
        </w:rPr>
        <w:t>2017</w:t>
      </w:r>
    </w:p>
    <w:p w:rsidR="00F81E94" w:rsidRPr="00F81E94" w:rsidRDefault="00F81E94" w:rsidP="00F81E94">
      <w:pPr>
        <w:spacing w:before="120" w:after="0" w:line="240" w:lineRule="auto"/>
        <w:jc w:val="both"/>
        <w:rPr>
          <w:rFonts w:ascii="Calibri" w:eastAsia="Calibri" w:hAnsi="Calibri" w:cs="Calibri"/>
          <w:lang w:eastAsia="en-US"/>
        </w:rPr>
      </w:pPr>
    </w:p>
    <w:p w:rsidR="00F81E94" w:rsidRPr="00F81E94" w:rsidRDefault="00F81E94" w:rsidP="00F81E94">
      <w:pPr>
        <w:spacing w:before="120" w:after="0" w:line="240" w:lineRule="auto"/>
        <w:jc w:val="both"/>
        <w:rPr>
          <w:rFonts w:ascii="Calibri" w:eastAsia="Calibri" w:hAnsi="Calibri" w:cs="Calibri"/>
          <w:b/>
          <w:sz w:val="24"/>
          <w:szCs w:val="24"/>
          <w:lang w:eastAsia="en-US"/>
        </w:rPr>
      </w:pPr>
      <w:r w:rsidRPr="00F81E94">
        <w:rPr>
          <w:rFonts w:ascii="Calibri" w:eastAsia="Calibri" w:hAnsi="Calibri" w:cs="Calibri"/>
          <w:b/>
          <w:sz w:val="24"/>
          <w:szCs w:val="24"/>
          <w:lang w:eastAsia="en-US"/>
        </w:rPr>
        <w:t>Background</w:t>
      </w:r>
    </w:p>
    <w:p w:rsidR="005E58E8" w:rsidRDefault="00F81E94" w:rsidP="00F81E94">
      <w:pPr>
        <w:spacing w:before="120" w:after="0" w:line="240" w:lineRule="auto"/>
        <w:jc w:val="both"/>
        <w:rPr>
          <w:rFonts w:ascii="Calibri" w:eastAsia="Calibri" w:hAnsi="Calibri" w:cs="Calibri"/>
          <w:lang w:eastAsia="en-US"/>
        </w:rPr>
      </w:pPr>
      <w:r w:rsidRPr="00F81E94">
        <w:rPr>
          <w:rFonts w:ascii="Calibri" w:eastAsia="Calibri" w:hAnsi="Calibri" w:cs="Calibri"/>
          <w:lang w:eastAsia="en-US"/>
        </w:rPr>
        <w:t xml:space="preserve">This Summary reports </w:t>
      </w:r>
      <w:r>
        <w:rPr>
          <w:rFonts w:ascii="Calibri" w:eastAsia="Calibri" w:hAnsi="Calibri" w:cs="Calibri"/>
          <w:lang w:eastAsia="en-US"/>
        </w:rPr>
        <w:t>on the results of the ‘2017</w:t>
      </w:r>
      <w:r w:rsidRPr="00F81E94">
        <w:rPr>
          <w:rFonts w:ascii="Calibri" w:eastAsia="Calibri" w:hAnsi="Calibri" w:cs="Calibri"/>
          <w:lang w:eastAsia="en-US"/>
        </w:rPr>
        <w:t xml:space="preserve"> Business of Ageing </w:t>
      </w:r>
      <w:r>
        <w:rPr>
          <w:rFonts w:ascii="Calibri" w:eastAsia="Calibri" w:hAnsi="Calibri" w:cs="Calibri"/>
          <w:lang w:eastAsia="en-US"/>
        </w:rPr>
        <w:t>Update.’ The Update is the fourth</w:t>
      </w:r>
      <w:r w:rsidRPr="00F81E94">
        <w:rPr>
          <w:rFonts w:ascii="Calibri" w:eastAsia="Calibri" w:hAnsi="Calibri" w:cs="Calibri"/>
          <w:lang w:eastAsia="en-US"/>
        </w:rPr>
        <w:t xml:space="preserve"> of a series of studies that began in 2010 which seek to monitor and assess trends in the economic value and business opportunities associated with New Zealand’s increasing population of Older People [65+ years].</w:t>
      </w:r>
    </w:p>
    <w:p w:rsidR="00F81E94" w:rsidRPr="00F81E94" w:rsidRDefault="005E58E8" w:rsidP="00F81E94">
      <w:pPr>
        <w:spacing w:before="120" w:after="0" w:line="240" w:lineRule="auto"/>
        <w:jc w:val="both"/>
        <w:rPr>
          <w:rFonts w:ascii="Calibri" w:eastAsia="Calibri" w:hAnsi="Calibri" w:cs="Calibri"/>
          <w:lang w:eastAsia="en-US"/>
        </w:rPr>
      </w:pPr>
      <w:r>
        <w:rPr>
          <w:rFonts w:ascii="Calibri" w:eastAsia="Calibri" w:hAnsi="Calibri" w:cs="Calibri"/>
          <w:lang w:eastAsia="en-US"/>
        </w:rPr>
        <w:t xml:space="preserve">This report should be read in conjunction with the previous reports which deal with a variety of relevant technical and data issues [including sensitivity and probability issues]. </w:t>
      </w:r>
      <w:r w:rsidR="00F81E94" w:rsidRPr="00F81E94">
        <w:rPr>
          <w:rFonts w:ascii="Calibri" w:eastAsia="Calibri" w:hAnsi="Calibri" w:cs="Calibri"/>
          <w:lang w:eastAsia="en-US"/>
        </w:rPr>
        <w:t xml:space="preserve"> </w:t>
      </w:r>
    </w:p>
    <w:p w:rsidR="00F81E94" w:rsidRPr="00F81E94" w:rsidRDefault="00F81E94" w:rsidP="00F81E94">
      <w:pPr>
        <w:spacing w:before="120" w:after="0" w:line="240" w:lineRule="auto"/>
        <w:jc w:val="both"/>
        <w:rPr>
          <w:rFonts w:ascii="Calibri" w:eastAsia="Calibri" w:hAnsi="Calibri" w:cs="Calibri"/>
          <w:lang w:eastAsia="en-US"/>
        </w:rPr>
      </w:pPr>
      <w:r>
        <w:rPr>
          <w:rFonts w:ascii="Calibri" w:eastAsia="Calibri" w:hAnsi="Calibri" w:cs="Calibri"/>
          <w:lang w:eastAsia="en-US"/>
        </w:rPr>
        <w:t>As noted in the third report, t</w:t>
      </w:r>
      <w:r w:rsidRPr="00F81E94">
        <w:rPr>
          <w:rFonts w:ascii="Calibri" w:eastAsia="Calibri" w:hAnsi="Calibri" w:cs="Calibri"/>
          <w:lang w:eastAsia="en-US"/>
        </w:rPr>
        <w:t>he November 2014 National Population Projections prepared by Statistics NZ comment that:</w:t>
      </w:r>
    </w:p>
    <w:p w:rsidR="00F81E94" w:rsidRPr="00F81E94" w:rsidRDefault="00F81E94" w:rsidP="00F81E94">
      <w:pPr>
        <w:spacing w:before="120" w:after="0" w:line="240" w:lineRule="auto"/>
        <w:jc w:val="both"/>
        <w:rPr>
          <w:rFonts w:ascii="Calibri" w:eastAsia="Calibri" w:hAnsi="Calibri" w:cs="Calibri"/>
          <w:i/>
          <w:lang w:eastAsia="en-US"/>
        </w:rPr>
      </w:pPr>
      <w:r w:rsidRPr="00F81E94">
        <w:rPr>
          <w:rFonts w:ascii="Calibri" w:eastAsia="Calibri" w:hAnsi="Calibri" w:cs="Calibri"/>
          <w:i/>
          <w:lang w:eastAsia="en-US"/>
        </w:rPr>
        <w:t xml:space="preserve">The number of people aged 65+ doubled between 1984 and 2014 to reach 650,000. The number is projected to double again by 2039. It is highly likely that there will be 1.28–1.37 million people aged 65+ in 2041, and 1.57–1.81 million in 2068. The largest growth will occur between 2011 and 2037 as the baby boomers move into the 65+ age group. </w:t>
      </w:r>
    </w:p>
    <w:p w:rsidR="00F81E94" w:rsidRPr="00F81E94" w:rsidRDefault="00F81E94" w:rsidP="00F81E94">
      <w:pPr>
        <w:spacing w:before="120" w:after="0" w:line="240" w:lineRule="auto"/>
        <w:jc w:val="both"/>
        <w:rPr>
          <w:rFonts w:ascii="Calibri" w:eastAsia="Calibri" w:hAnsi="Calibri" w:cs="Calibri"/>
          <w:i/>
          <w:lang w:eastAsia="en-US"/>
        </w:rPr>
      </w:pPr>
      <w:r w:rsidRPr="00F81E94">
        <w:rPr>
          <w:rFonts w:ascii="Calibri" w:eastAsia="Calibri" w:hAnsi="Calibri" w:cs="Calibri"/>
          <w:i/>
          <w:lang w:eastAsia="en-US"/>
        </w:rPr>
        <w:t xml:space="preserve">By 2032, it is expected that 21–22 percent of New Zealanders will be aged 65+, compared with 14 percent in 2014. By 2050, this proportion is expected to reach 22–26 percent, and reach 24–32 percent by 2068. </w:t>
      </w:r>
    </w:p>
    <w:p w:rsidR="00F81E94" w:rsidRPr="00F81E94" w:rsidRDefault="00F81E94" w:rsidP="00F81E94">
      <w:pPr>
        <w:spacing w:before="120" w:after="0" w:line="240" w:lineRule="auto"/>
        <w:jc w:val="both"/>
        <w:rPr>
          <w:rFonts w:ascii="Calibri" w:eastAsia="Calibri" w:hAnsi="Calibri" w:cs="Calibri"/>
          <w:i/>
          <w:lang w:eastAsia="en-US"/>
        </w:rPr>
      </w:pPr>
      <w:r w:rsidRPr="00F81E94">
        <w:rPr>
          <w:rFonts w:ascii="Calibri" w:eastAsia="Calibri" w:hAnsi="Calibri" w:cs="Calibri"/>
          <w:i/>
          <w:lang w:eastAsia="en-US"/>
        </w:rPr>
        <w:t>Within the 65+ age group, the number of people aged 85 and over (85+) is expected to increase significantly. F</w:t>
      </w:r>
      <w:r w:rsidR="00132145">
        <w:rPr>
          <w:rFonts w:ascii="Calibri" w:eastAsia="Calibri" w:hAnsi="Calibri" w:cs="Calibri"/>
          <w:i/>
          <w:lang w:eastAsia="en-US"/>
        </w:rPr>
        <w:t>rom 78,000 in 2014, it is</w:t>
      </w:r>
      <w:r w:rsidRPr="00F81E94">
        <w:rPr>
          <w:rFonts w:ascii="Calibri" w:eastAsia="Calibri" w:hAnsi="Calibri" w:cs="Calibri"/>
          <w:i/>
          <w:lang w:eastAsia="en-US"/>
        </w:rPr>
        <w:t xml:space="preserve"> likely that 220,000–270,000 people will be aged 85+ in 2041 and 320,000–450,000 in 2068. By the 2050s, about 1 in 4 people aged 65+ will be 85+ compared with 1 in 8 in 2014.</w:t>
      </w:r>
    </w:p>
    <w:p w:rsidR="00F81E94" w:rsidRPr="00F81E94" w:rsidRDefault="00A054CF" w:rsidP="00F81E94">
      <w:pPr>
        <w:spacing w:before="120" w:after="0" w:line="240" w:lineRule="auto"/>
        <w:jc w:val="both"/>
        <w:rPr>
          <w:rFonts w:ascii="Calibri" w:eastAsia="Calibri" w:hAnsi="Calibri" w:cs="Calibri"/>
          <w:lang w:eastAsia="en-US"/>
        </w:rPr>
      </w:pPr>
      <w:r>
        <w:rPr>
          <w:rFonts w:ascii="Calibri" w:eastAsia="Calibri" w:hAnsi="Calibri" w:cs="Calibri"/>
          <w:lang w:eastAsia="en-US"/>
        </w:rPr>
        <w:t>The newest 2015</w:t>
      </w:r>
      <w:r w:rsidR="00F81E94" w:rsidRPr="00F81E94">
        <w:rPr>
          <w:rFonts w:ascii="Calibri" w:eastAsia="Calibri" w:hAnsi="Calibri" w:cs="Calibri"/>
          <w:lang w:eastAsia="en-US"/>
        </w:rPr>
        <w:t xml:space="preserve"> projections of the National Labour Forc</w:t>
      </w:r>
      <w:r w:rsidR="00F81E94">
        <w:rPr>
          <w:rFonts w:ascii="Calibri" w:eastAsia="Calibri" w:hAnsi="Calibri" w:cs="Calibri"/>
          <w:lang w:eastAsia="en-US"/>
        </w:rPr>
        <w:t>e by Statistics NZ project that</w:t>
      </w:r>
      <w:r w:rsidR="00F81E94" w:rsidRPr="00F81E94">
        <w:rPr>
          <w:rFonts w:ascii="Calibri" w:eastAsia="Calibri" w:hAnsi="Calibri" w:cs="Calibri"/>
          <w:lang w:eastAsia="en-US"/>
        </w:rPr>
        <w:t>:</w:t>
      </w:r>
    </w:p>
    <w:p w:rsidR="00F81E94" w:rsidRDefault="00F81E94" w:rsidP="00F81E94">
      <w:pPr>
        <w:spacing w:before="120" w:after="0" w:line="240" w:lineRule="auto"/>
        <w:jc w:val="both"/>
        <w:rPr>
          <w:rFonts w:ascii="Calibri" w:eastAsia="Calibri" w:hAnsi="Calibri" w:cs="Calibri"/>
          <w:i/>
          <w:lang w:eastAsia="en-US"/>
        </w:rPr>
      </w:pPr>
      <w:proofErr w:type="gramStart"/>
      <w:r w:rsidRPr="00F81E94">
        <w:rPr>
          <w:rFonts w:ascii="Calibri" w:eastAsia="Calibri" w:hAnsi="Calibri" w:cs="Calibri"/>
          <w:i/>
          <w:lang w:eastAsia="en-US"/>
        </w:rPr>
        <w:t>there</w:t>
      </w:r>
      <w:proofErr w:type="gramEnd"/>
      <w:r w:rsidRPr="00F81E94">
        <w:rPr>
          <w:rFonts w:ascii="Calibri" w:eastAsia="Calibri" w:hAnsi="Calibri" w:cs="Calibri"/>
          <w:i/>
          <w:lang w:eastAsia="en-US"/>
        </w:rPr>
        <w:t xml:space="preserve"> will be </w:t>
      </w:r>
      <w:r>
        <w:rPr>
          <w:rFonts w:ascii="Calibri" w:eastAsia="Calibri" w:hAnsi="Calibri" w:cs="Calibri"/>
          <w:i/>
          <w:lang w:eastAsia="en-US"/>
        </w:rPr>
        <w:t>ar</w:t>
      </w:r>
      <w:r w:rsidR="00A054CF">
        <w:rPr>
          <w:rFonts w:ascii="Calibri" w:eastAsia="Calibri" w:hAnsi="Calibri" w:cs="Calibri"/>
          <w:i/>
          <w:lang w:eastAsia="en-US"/>
        </w:rPr>
        <w:t>ound 319</w:t>
      </w:r>
      <w:r>
        <w:rPr>
          <w:rFonts w:ascii="Calibri" w:eastAsia="Calibri" w:hAnsi="Calibri" w:cs="Calibri"/>
          <w:i/>
          <w:lang w:eastAsia="en-US"/>
        </w:rPr>
        <w:t xml:space="preserve">,000 people </w:t>
      </w:r>
      <w:r w:rsidRPr="00F81E94">
        <w:rPr>
          <w:rFonts w:ascii="Calibri" w:eastAsia="Calibri" w:hAnsi="Calibri" w:cs="Calibri"/>
          <w:i/>
          <w:lang w:eastAsia="en-US"/>
        </w:rPr>
        <w:t xml:space="preserve">aged 65+ in </w:t>
      </w:r>
      <w:r>
        <w:rPr>
          <w:rFonts w:ascii="Calibri" w:eastAsia="Calibri" w:hAnsi="Calibri" w:cs="Calibri"/>
          <w:i/>
          <w:lang w:eastAsia="en-US"/>
        </w:rPr>
        <w:t>the n</w:t>
      </w:r>
      <w:r w:rsidR="00A054CF">
        <w:rPr>
          <w:rFonts w:ascii="Calibri" w:eastAsia="Calibri" w:hAnsi="Calibri" w:cs="Calibri"/>
          <w:i/>
          <w:lang w:eastAsia="en-US"/>
        </w:rPr>
        <w:t>ational workforce by 2036 [183,500 males and 135,5</w:t>
      </w:r>
      <w:r>
        <w:rPr>
          <w:rFonts w:ascii="Calibri" w:eastAsia="Calibri" w:hAnsi="Calibri" w:cs="Calibri"/>
          <w:i/>
          <w:lang w:eastAsia="en-US"/>
        </w:rPr>
        <w:t>00 females] and that the total could rise to almost 400,000 by 2061</w:t>
      </w:r>
      <w:r w:rsidRPr="00F81E94">
        <w:rPr>
          <w:rFonts w:ascii="Calibri" w:eastAsia="Calibri" w:hAnsi="Calibri" w:cs="Calibri"/>
          <w:i/>
          <w:lang w:eastAsia="en-US"/>
        </w:rPr>
        <w:t>. The largest gr</w:t>
      </w:r>
      <w:r>
        <w:rPr>
          <w:rFonts w:ascii="Calibri" w:eastAsia="Calibri" w:hAnsi="Calibri" w:cs="Calibri"/>
          <w:i/>
          <w:lang w:eastAsia="en-US"/>
        </w:rPr>
        <w:t>owth will occur in the period to</w:t>
      </w:r>
      <w:r w:rsidRPr="00F81E94">
        <w:rPr>
          <w:rFonts w:ascii="Calibri" w:eastAsia="Calibri" w:hAnsi="Calibri" w:cs="Calibri"/>
          <w:i/>
          <w:lang w:eastAsia="en-US"/>
        </w:rPr>
        <w:t xml:space="preserve"> 2031, as the baby boomers move into the 65+ age group.</w:t>
      </w:r>
    </w:p>
    <w:p w:rsidR="008B350B" w:rsidRPr="005E58E8" w:rsidRDefault="005E58E8" w:rsidP="00F81E94">
      <w:pPr>
        <w:spacing w:before="120" w:after="0" w:line="240" w:lineRule="auto"/>
        <w:jc w:val="both"/>
        <w:rPr>
          <w:rFonts w:ascii="Calibri" w:eastAsia="Calibri" w:hAnsi="Calibri" w:cs="Calibri"/>
          <w:lang w:eastAsia="en-US"/>
        </w:rPr>
      </w:pPr>
      <w:r w:rsidRPr="005E58E8">
        <w:rPr>
          <w:rFonts w:ascii="Calibri" w:eastAsia="Calibri" w:hAnsi="Calibri" w:cs="Calibri"/>
          <w:lang w:eastAsia="en-US"/>
        </w:rPr>
        <w:t>Given the magnitude of these trends and their potential impact on the national economy, regular monitoring is clearly appropriate.</w:t>
      </w:r>
    </w:p>
    <w:p w:rsidR="005E58E8" w:rsidRPr="005E58E8" w:rsidRDefault="005E58E8" w:rsidP="00F81E94">
      <w:pPr>
        <w:spacing w:before="120" w:after="0" w:line="240" w:lineRule="auto"/>
        <w:jc w:val="both"/>
        <w:rPr>
          <w:rFonts w:ascii="Calibri" w:eastAsia="Calibri" w:hAnsi="Calibri" w:cs="Calibri"/>
          <w:b/>
          <w:sz w:val="24"/>
          <w:szCs w:val="24"/>
          <w:lang w:eastAsia="en-US"/>
        </w:rPr>
      </w:pPr>
      <w:r w:rsidRPr="005E58E8">
        <w:rPr>
          <w:rFonts w:ascii="Calibri" w:eastAsia="Calibri" w:hAnsi="Calibri" w:cs="Calibri"/>
          <w:b/>
          <w:sz w:val="24"/>
          <w:szCs w:val="24"/>
          <w:lang w:eastAsia="en-US"/>
        </w:rPr>
        <w:t>Purpose</w:t>
      </w:r>
    </w:p>
    <w:p w:rsidR="007E1EA1" w:rsidRDefault="007E1EA1" w:rsidP="00F81E94">
      <w:pPr>
        <w:spacing w:before="120" w:after="0" w:line="240" w:lineRule="auto"/>
        <w:jc w:val="both"/>
        <w:rPr>
          <w:rFonts w:ascii="Calibri" w:eastAsia="Calibri" w:hAnsi="Calibri" w:cs="Calibri"/>
          <w:lang w:eastAsia="en-US"/>
        </w:rPr>
      </w:pPr>
      <w:r>
        <w:rPr>
          <w:rFonts w:ascii="Calibri" w:eastAsia="Calibri" w:hAnsi="Calibri" w:cs="Calibri"/>
          <w:lang w:eastAsia="en-US"/>
        </w:rPr>
        <w:t>The Deliverables for this Update are specified as follows:</w:t>
      </w:r>
    </w:p>
    <w:p w:rsidR="007E1EA1" w:rsidRDefault="007E1EA1" w:rsidP="007E1EA1">
      <w:pPr>
        <w:pStyle w:val="ListParagraph"/>
        <w:numPr>
          <w:ilvl w:val="0"/>
          <w:numId w:val="3"/>
        </w:numPr>
        <w:spacing w:before="120" w:after="0" w:line="240" w:lineRule="auto"/>
        <w:jc w:val="both"/>
        <w:rPr>
          <w:rFonts w:ascii="Calibri" w:eastAsia="Calibri" w:hAnsi="Calibri" w:cs="Calibri"/>
          <w:lang w:eastAsia="en-US"/>
        </w:rPr>
      </w:pPr>
      <w:r>
        <w:rPr>
          <w:rFonts w:ascii="Calibri" w:eastAsia="Calibri" w:hAnsi="Calibri" w:cs="Calibri"/>
          <w:lang w:eastAsia="en-US"/>
        </w:rPr>
        <w:t>Update the Economic Model to include:</w:t>
      </w:r>
    </w:p>
    <w:p w:rsidR="007E1EA1" w:rsidRDefault="007E1EA1" w:rsidP="007E1EA1">
      <w:pPr>
        <w:pStyle w:val="ListParagraph"/>
        <w:spacing w:before="120" w:after="0" w:line="240" w:lineRule="auto"/>
        <w:jc w:val="both"/>
        <w:rPr>
          <w:rFonts w:ascii="Calibri" w:eastAsia="Calibri" w:hAnsi="Calibri" w:cs="Calibri"/>
          <w:lang w:eastAsia="en-US"/>
        </w:rPr>
      </w:pPr>
    </w:p>
    <w:p w:rsidR="007E1EA1" w:rsidRDefault="007E1EA1" w:rsidP="007E1EA1">
      <w:pPr>
        <w:pStyle w:val="ListParagraph"/>
        <w:numPr>
          <w:ilvl w:val="0"/>
          <w:numId w:val="4"/>
        </w:numPr>
        <w:spacing w:before="120" w:after="0" w:line="240" w:lineRule="auto"/>
        <w:ind w:hanging="750"/>
        <w:jc w:val="both"/>
        <w:rPr>
          <w:rFonts w:ascii="Calibri" w:eastAsia="Calibri" w:hAnsi="Calibri" w:cs="Calibri"/>
          <w:lang w:eastAsia="en-US"/>
        </w:rPr>
      </w:pPr>
      <w:r>
        <w:rPr>
          <w:rFonts w:ascii="Calibri" w:eastAsia="Calibri" w:hAnsi="Calibri" w:cs="Calibri"/>
          <w:lang w:eastAsia="en-US"/>
        </w:rPr>
        <w:t>Population and Labour Force projections as used by Treasury in the 2016 Long Term Fiscal Statement</w:t>
      </w:r>
    </w:p>
    <w:p w:rsidR="007E1EA1" w:rsidRDefault="007E1EA1" w:rsidP="007E1EA1">
      <w:pPr>
        <w:pStyle w:val="ListParagraph"/>
        <w:numPr>
          <w:ilvl w:val="0"/>
          <w:numId w:val="4"/>
        </w:numPr>
        <w:spacing w:before="120" w:after="0" w:line="240" w:lineRule="auto"/>
        <w:ind w:hanging="750"/>
        <w:jc w:val="both"/>
        <w:rPr>
          <w:rFonts w:ascii="Calibri" w:eastAsia="Calibri" w:hAnsi="Calibri" w:cs="Calibri"/>
          <w:lang w:eastAsia="en-US"/>
        </w:rPr>
      </w:pPr>
      <w:r>
        <w:rPr>
          <w:rFonts w:ascii="Calibri" w:eastAsia="Calibri" w:hAnsi="Calibri" w:cs="Calibri"/>
          <w:lang w:eastAsia="en-US"/>
        </w:rPr>
        <w:t>Review and update if necessary the proxy wage used to represent the economic value of unpaid/voluntary work</w:t>
      </w:r>
    </w:p>
    <w:p w:rsidR="007E1EA1" w:rsidRDefault="007E1EA1" w:rsidP="007E1EA1">
      <w:pPr>
        <w:pStyle w:val="ListParagraph"/>
        <w:numPr>
          <w:ilvl w:val="0"/>
          <w:numId w:val="4"/>
        </w:numPr>
        <w:spacing w:before="120" w:after="0" w:line="240" w:lineRule="auto"/>
        <w:ind w:hanging="750"/>
        <w:jc w:val="both"/>
        <w:rPr>
          <w:rFonts w:ascii="Calibri" w:eastAsia="Calibri" w:hAnsi="Calibri" w:cs="Calibri"/>
          <w:lang w:eastAsia="en-US"/>
        </w:rPr>
      </w:pPr>
      <w:r>
        <w:rPr>
          <w:rFonts w:ascii="Calibri" w:eastAsia="Calibri" w:hAnsi="Calibri" w:cs="Calibri"/>
          <w:lang w:eastAsia="en-US"/>
        </w:rPr>
        <w:t>Re-base the Model to 2016 dollars</w:t>
      </w:r>
    </w:p>
    <w:p w:rsidR="007E1EA1" w:rsidRDefault="005E58E8" w:rsidP="005E58E8">
      <w:pPr>
        <w:pStyle w:val="ListParagraph"/>
        <w:numPr>
          <w:ilvl w:val="0"/>
          <w:numId w:val="4"/>
        </w:numPr>
        <w:spacing w:before="120" w:after="0" w:line="240" w:lineRule="auto"/>
        <w:ind w:hanging="750"/>
        <w:jc w:val="both"/>
        <w:rPr>
          <w:rFonts w:ascii="Calibri" w:eastAsia="Calibri" w:hAnsi="Calibri" w:cs="Calibri"/>
          <w:lang w:eastAsia="en-US"/>
        </w:rPr>
      </w:pPr>
      <w:r>
        <w:rPr>
          <w:rFonts w:ascii="Calibri" w:eastAsia="Calibri" w:hAnsi="Calibri" w:cs="Calibri"/>
          <w:lang w:eastAsia="en-US"/>
        </w:rPr>
        <w:t>Provide a copy of the final output page of the Model and the Population and Labour Force projections for inclusion on the MSD website.</w:t>
      </w:r>
    </w:p>
    <w:p w:rsidR="005E58E8" w:rsidRDefault="005E58E8" w:rsidP="005E58E8">
      <w:pPr>
        <w:pStyle w:val="ListParagraph"/>
        <w:numPr>
          <w:ilvl w:val="0"/>
          <w:numId w:val="3"/>
        </w:numPr>
        <w:spacing w:before="120" w:after="0" w:line="240" w:lineRule="auto"/>
        <w:jc w:val="both"/>
        <w:rPr>
          <w:rFonts w:ascii="Calibri" w:eastAsia="Calibri" w:hAnsi="Calibri" w:cs="Calibri"/>
          <w:lang w:eastAsia="en-US"/>
        </w:rPr>
      </w:pPr>
      <w:r>
        <w:rPr>
          <w:rFonts w:ascii="Calibri" w:eastAsia="Calibri" w:hAnsi="Calibri" w:cs="Calibri"/>
          <w:lang w:eastAsia="en-US"/>
        </w:rPr>
        <w:t>Update the website’s One-Page Summary of the Model Results</w:t>
      </w:r>
    </w:p>
    <w:p w:rsidR="005E58E8" w:rsidRPr="005F3D36" w:rsidRDefault="005E58E8" w:rsidP="005E58E8">
      <w:pPr>
        <w:pStyle w:val="ListParagraph"/>
        <w:numPr>
          <w:ilvl w:val="0"/>
          <w:numId w:val="3"/>
        </w:numPr>
        <w:spacing w:before="120" w:after="0" w:line="240" w:lineRule="auto"/>
        <w:jc w:val="both"/>
        <w:rPr>
          <w:rFonts w:ascii="Calibri" w:eastAsia="Calibri" w:hAnsi="Calibri" w:cs="Calibri"/>
          <w:lang w:eastAsia="en-US"/>
        </w:rPr>
      </w:pPr>
      <w:r>
        <w:rPr>
          <w:rFonts w:ascii="Calibri" w:eastAsia="Calibri" w:hAnsi="Calibri" w:cs="Calibri"/>
          <w:lang w:eastAsia="en-US"/>
        </w:rPr>
        <w:t>Provide a brief report on the changes undertaken to the Model, for future reference by MSD.</w:t>
      </w:r>
    </w:p>
    <w:p w:rsidR="008B350B" w:rsidRPr="00BC0F2D" w:rsidRDefault="005E58E8" w:rsidP="00F81E94">
      <w:pPr>
        <w:spacing w:before="120" w:after="0" w:line="240" w:lineRule="auto"/>
        <w:jc w:val="both"/>
        <w:rPr>
          <w:rFonts w:ascii="Calibri" w:eastAsia="Calibri" w:hAnsi="Calibri" w:cs="Calibri"/>
          <w:lang w:eastAsia="en-US"/>
        </w:rPr>
      </w:pPr>
      <w:r>
        <w:rPr>
          <w:rFonts w:ascii="Calibri" w:eastAsia="Calibri" w:hAnsi="Calibri" w:cs="Calibri"/>
          <w:lang w:eastAsia="en-US"/>
        </w:rPr>
        <w:t>The requirements of this Update are simple in comparison to those of previous Updates and do not warrant extensive reporting.</w:t>
      </w:r>
      <w:r w:rsidR="005F3D36">
        <w:rPr>
          <w:rFonts w:ascii="Calibri" w:eastAsia="Calibri" w:hAnsi="Calibri" w:cs="Calibri"/>
          <w:lang w:eastAsia="en-US"/>
        </w:rPr>
        <w:t xml:space="preserve"> Readers are referred to the extensive detail provided </w:t>
      </w:r>
      <w:proofErr w:type="gramStart"/>
      <w:r w:rsidR="005F3D36">
        <w:rPr>
          <w:rFonts w:ascii="Calibri" w:eastAsia="Calibri" w:hAnsi="Calibri" w:cs="Calibri"/>
          <w:lang w:eastAsia="en-US"/>
        </w:rPr>
        <w:t>at  the</w:t>
      </w:r>
      <w:proofErr w:type="gramEnd"/>
      <w:r w:rsidR="005F3D36">
        <w:rPr>
          <w:rFonts w:ascii="Calibri" w:eastAsia="Calibri" w:hAnsi="Calibri" w:cs="Calibri"/>
          <w:lang w:eastAsia="en-US"/>
        </w:rPr>
        <w:t xml:space="preserve"> Ministry of </w:t>
      </w:r>
      <w:r w:rsidR="005F3D36">
        <w:rPr>
          <w:rFonts w:ascii="Calibri" w:eastAsia="Calibri" w:hAnsi="Calibri" w:cs="Calibri"/>
          <w:lang w:eastAsia="en-US"/>
        </w:rPr>
        <w:lastRenderedPageBreak/>
        <w:t xml:space="preserve">Social Development’s Business of Ageing Website [ </w:t>
      </w:r>
      <w:hyperlink r:id="rId8" w:history="1">
        <w:r w:rsidR="005F3D36" w:rsidRPr="002E13C3">
          <w:rPr>
            <w:rStyle w:val="Hyperlink"/>
            <w:rFonts w:ascii="Calibri" w:eastAsia="Calibri" w:hAnsi="Calibri" w:cs="Calibri"/>
            <w:lang w:eastAsia="en-US"/>
          </w:rPr>
          <w:t>https://www.msd.govt.nz/about-msd-and-our-work/publications-resources/research/business-of-ageing/</w:t>
        </w:r>
      </w:hyperlink>
      <w:r w:rsidR="005F3D36">
        <w:rPr>
          <w:rFonts w:ascii="Calibri" w:eastAsia="Calibri" w:hAnsi="Calibri" w:cs="Calibri"/>
          <w:lang w:eastAsia="en-US"/>
        </w:rPr>
        <w:t xml:space="preserve"> for additional information.</w:t>
      </w:r>
    </w:p>
    <w:p w:rsidR="00F81E94" w:rsidRDefault="00F81E94" w:rsidP="00F81E94">
      <w:pPr>
        <w:spacing w:before="120" w:after="0" w:line="240" w:lineRule="auto"/>
        <w:jc w:val="both"/>
        <w:rPr>
          <w:rFonts w:ascii="Calibri" w:eastAsia="Calibri" w:hAnsi="Calibri" w:cs="Calibri"/>
          <w:b/>
          <w:sz w:val="24"/>
          <w:szCs w:val="24"/>
          <w:lang w:eastAsia="en-US"/>
        </w:rPr>
      </w:pPr>
      <w:r w:rsidRPr="00F81E94">
        <w:rPr>
          <w:rFonts w:ascii="Calibri" w:eastAsia="Calibri" w:hAnsi="Calibri" w:cs="Calibri"/>
          <w:b/>
          <w:sz w:val="24"/>
          <w:szCs w:val="24"/>
          <w:lang w:eastAsia="en-US"/>
        </w:rPr>
        <w:t>Basis of the Work</w:t>
      </w:r>
    </w:p>
    <w:p w:rsidR="005F3D36" w:rsidRPr="005F3D36" w:rsidRDefault="005F3D36" w:rsidP="00F81E94">
      <w:pPr>
        <w:spacing w:before="120" w:after="0" w:line="240" w:lineRule="auto"/>
        <w:jc w:val="both"/>
        <w:rPr>
          <w:rFonts w:ascii="Calibri" w:eastAsia="Calibri" w:hAnsi="Calibri" w:cs="Calibri"/>
          <w:lang w:eastAsia="en-US"/>
        </w:rPr>
      </w:pPr>
      <w:r>
        <w:rPr>
          <w:rFonts w:ascii="Calibri" w:eastAsia="Calibri" w:hAnsi="Calibri" w:cs="Calibri"/>
          <w:lang w:eastAsia="en-US"/>
        </w:rPr>
        <w:t>The need for a 2017</w:t>
      </w:r>
      <w:r w:rsidRPr="00F81E94">
        <w:rPr>
          <w:rFonts w:ascii="Calibri" w:eastAsia="Calibri" w:hAnsi="Calibri" w:cs="Calibri"/>
          <w:lang w:eastAsia="en-US"/>
        </w:rPr>
        <w:t xml:space="preserve"> Update has been triggered by the release by SNZ of new </w:t>
      </w:r>
      <w:r>
        <w:rPr>
          <w:rFonts w:ascii="Calibri" w:eastAsia="Calibri" w:hAnsi="Calibri" w:cs="Calibri"/>
          <w:lang w:eastAsia="en-US"/>
        </w:rPr>
        <w:t xml:space="preserve">Labour Force </w:t>
      </w:r>
      <w:r w:rsidRPr="00F81E94">
        <w:rPr>
          <w:rFonts w:ascii="Calibri" w:eastAsia="Calibri" w:hAnsi="Calibri" w:cs="Calibri"/>
          <w:lang w:eastAsia="en-US"/>
        </w:rPr>
        <w:t>Projec</w:t>
      </w:r>
      <w:r>
        <w:rPr>
          <w:rFonts w:ascii="Calibri" w:eastAsia="Calibri" w:hAnsi="Calibri" w:cs="Calibri"/>
          <w:lang w:eastAsia="en-US"/>
        </w:rPr>
        <w:t>tions (December 2015, 2015 Base)</w:t>
      </w:r>
      <w:r w:rsidRPr="00F81E94">
        <w:rPr>
          <w:rFonts w:ascii="Calibri" w:eastAsia="Calibri" w:hAnsi="Calibri" w:cs="Calibri"/>
          <w:lang w:eastAsia="en-US"/>
        </w:rPr>
        <w:t xml:space="preserve">. </w:t>
      </w:r>
    </w:p>
    <w:p w:rsidR="00F81E94" w:rsidRPr="00F81E94" w:rsidRDefault="00F81E94" w:rsidP="00F81E94">
      <w:pPr>
        <w:spacing w:before="120" w:after="0" w:line="240" w:lineRule="auto"/>
        <w:jc w:val="both"/>
        <w:rPr>
          <w:rFonts w:ascii="Calibri" w:eastAsia="Calibri" w:hAnsi="Calibri" w:cs="Calibri"/>
          <w:lang w:eastAsia="en-US"/>
        </w:rPr>
      </w:pPr>
      <w:r w:rsidRPr="00F81E94">
        <w:rPr>
          <w:rFonts w:ascii="Calibri" w:eastAsia="Calibri" w:hAnsi="Calibri" w:cs="Calibri"/>
          <w:lang w:eastAsia="en-US"/>
        </w:rPr>
        <w:t xml:space="preserve">The work centres on the development and refinement of a quantitative model that projects, on an ‘other things being equal’ basis the $ values of the earnings, tax paid, and consumption expenditures of Older New Zealanders and the implications that additional paid work might have on their voluntary work contributions. </w:t>
      </w:r>
    </w:p>
    <w:p w:rsidR="00F81E94" w:rsidRPr="00F81E94" w:rsidRDefault="00F81E94" w:rsidP="00F81E94">
      <w:pPr>
        <w:spacing w:before="120" w:after="0" w:line="240" w:lineRule="auto"/>
        <w:jc w:val="both"/>
        <w:rPr>
          <w:rFonts w:ascii="Calibri" w:eastAsia="Calibri" w:hAnsi="Calibri" w:cs="Calibri"/>
          <w:lang w:eastAsia="en-US"/>
        </w:rPr>
      </w:pPr>
      <w:r w:rsidRPr="00F81E94">
        <w:rPr>
          <w:rFonts w:ascii="Calibri" w:eastAsia="Calibri" w:hAnsi="Calibri" w:cs="Calibri"/>
          <w:lang w:eastAsia="en-US"/>
        </w:rPr>
        <w:t>The primary model inputs are the projected population of Older People and the projected numbers of Older People in the Labour</w:t>
      </w:r>
      <w:r w:rsidR="00A054CF">
        <w:rPr>
          <w:rFonts w:ascii="Calibri" w:eastAsia="Calibri" w:hAnsi="Calibri" w:cs="Calibri"/>
          <w:lang w:eastAsia="en-US"/>
        </w:rPr>
        <w:t xml:space="preserve"> Force [[i.e. </w:t>
      </w:r>
      <w:r w:rsidRPr="00F81E94">
        <w:rPr>
          <w:rFonts w:ascii="Calibri" w:eastAsia="Calibri" w:hAnsi="Calibri" w:cs="Calibri"/>
          <w:lang w:eastAsia="en-US"/>
        </w:rPr>
        <w:t xml:space="preserve">the denominator </w:t>
      </w:r>
      <w:r w:rsidR="00A054CF">
        <w:rPr>
          <w:rFonts w:ascii="Calibri" w:eastAsia="Calibri" w:hAnsi="Calibri" w:cs="Calibri"/>
          <w:lang w:eastAsia="en-US"/>
        </w:rPr>
        <w:t xml:space="preserve">and the numerator </w:t>
      </w:r>
      <w:r w:rsidRPr="00F81E94">
        <w:rPr>
          <w:rFonts w:ascii="Calibri" w:eastAsia="Calibri" w:hAnsi="Calibri" w:cs="Calibri"/>
          <w:lang w:eastAsia="en-US"/>
        </w:rPr>
        <w:t>of the ‘Participation Rate’]. Participation Rates for Older New Zealanders have been rising steadily in New Zealand over the last few yea</w:t>
      </w:r>
      <w:r w:rsidR="003411A8">
        <w:rPr>
          <w:rFonts w:ascii="Calibri" w:eastAsia="Calibri" w:hAnsi="Calibri" w:cs="Calibri"/>
          <w:lang w:eastAsia="en-US"/>
        </w:rPr>
        <w:t>rs from 12 percent in 2006 to 24 percent in 2016</w:t>
      </w:r>
      <w:r w:rsidRPr="00F81E94">
        <w:rPr>
          <w:rFonts w:ascii="Calibri" w:eastAsia="Calibri" w:hAnsi="Calibri" w:cs="Calibri"/>
          <w:lang w:eastAsia="en-US"/>
        </w:rPr>
        <w:t xml:space="preserve">. </w:t>
      </w:r>
    </w:p>
    <w:p w:rsidR="00F81E94" w:rsidRDefault="00F81E94" w:rsidP="00F81E94">
      <w:pPr>
        <w:spacing w:before="120" w:after="0" w:line="240" w:lineRule="auto"/>
        <w:jc w:val="both"/>
        <w:rPr>
          <w:rFonts w:ascii="Calibri" w:eastAsia="Calibri" w:hAnsi="Calibri" w:cs="Calibri"/>
          <w:lang w:eastAsia="en-US"/>
        </w:rPr>
      </w:pPr>
      <w:r w:rsidRPr="00F81E94">
        <w:rPr>
          <w:rFonts w:ascii="Calibri" w:eastAsia="Calibri" w:hAnsi="Calibri" w:cs="Calibri"/>
          <w:lang w:eastAsia="en-US"/>
        </w:rPr>
        <w:t>The model projects trends in the economic value of Olde</w:t>
      </w:r>
      <w:r w:rsidR="00D863EE">
        <w:rPr>
          <w:rFonts w:ascii="Calibri" w:eastAsia="Calibri" w:hAnsi="Calibri" w:cs="Calibri"/>
          <w:lang w:eastAsia="en-US"/>
        </w:rPr>
        <w:t>r People, consistent with</w:t>
      </w:r>
      <w:r w:rsidRPr="00F81E94">
        <w:rPr>
          <w:rFonts w:ascii="Calibri" w:eastAsia="Calibri" w:hAnsi="Calibri" w:cs="Calibri"/>
          <w:lang w:eastAsia="en-US"/>
        </w:rPr>
        <w:t xml:space="preserve"> Treasury’s Long Term Fiscal Model and progressive updates of Demographic and Labour Force Projections by Statistics NZ (</w:t>
      </w:r>
      <w:proofErr w:type="spellStart"/>
      <w:r w:rsidRPr="00F81E94">
        <w:rPr>
          <w:rFonts w:ascii="Calibri" w:eastAsia="Calibri" w:hAnsi="Calibri" w:cs="Calibri"/>
          <w:lang w:eastAsia="en-US"/>
        </w:rPr>
        <w:t>S</w:t>
      </w:r>
      <w:r w:rsidR="00A054CF">
        <w:rPr>
          <w:rFonts w:ascii="Calibri" w:eastAsia="Calibri" w:hAnsi="Calibri" w:cs="Calibri"/>
          <w:lang w:eastAsia="en-US"/>
        </w:rPr>
        <w:t>tats</w:t>
      </w:r>
      <w:r w:rsidRPr="00F81E94">
        <w:rPr>
          <w:rFonts w:ascii="Calibri" w:eastAsia="Calibri" w:hAnsi="Calibri" w:cs="Calibri"/>
          <w:lang w:eastAsia="en-US"/>
        </w:rPr>
        <w:t>NZ</w:t>
      </w:r>
      <w:proofErr w:type="spellEnd"/>
      <w:r w:rsidRPr="00F81E94">
        <w:rPr>
          <w:rFonts w:ascii="Calibri" w:eastAsia="Calibri" w:hAnsi="Calibri" w:cs="Calibri"/>
          <w:lang w:eastAsia="en-US"/>
        </w:rPr>
        <w:t>).</w:t>
      </w:r>
    </w:p>
    <w:p w:rsidR="008B350B" w:rsidRDefault="00D863EE" w:rsidP="00F81E94">
      <w:pPr>
        <w:spacing w:before="120" w:after="0" w:line="240" w:lineRule="auto"/>
        <w:jc w:val="both"/>
        <w:rPr>
          <w:rFonts w:ascii="Calibri" w:eastAsia="Calibri" w:hAnsi="Calibri" w:cs="Calibri"/>
          <w:lang w:eastAsia="en-US"/>
        </w:rPr>
      </w:pPr>
      <w:r>
        <w:rPr>
          <w:rFonts w:ascii="Calibri" w:eastAsia="Calibri" w:hAnsi="Calibri" w:cs="Calibri"/>
          <w:lang w:eastAsia="en-US"/>
        </w:rPr>
        <w:t xml:space="preserve">An early draft of the work was submitted to </w:t>
      </w:r>
      <w:proofErr w:type="spellStart"/>
      <w:r>
        <w:rPr>
          <w:rFonts w:ascii="Calibri" w:eastAsia="Calibri" w:hAnsi="Calibri" w:cs="Calibri"/>
          <w:lang w:eastAsia="en-US"/>
        </w:rPr>
        <w:t>StatsNZ</w:t>
      </w:r>
      <w:proofErr w:type="spellEnd"/>
      <w:r>
        <w:rPr>
          <w:rFonts w:ascii="Calibri" w:eastAsia="Calibri" w:hAnsi="Calibri" w:cs="Calibri"/>
          <w:lang w:eastAsia="en-US"/>
        </w:rPr>
        <w:t xml:space="preserve"> for peer review</w:t>
      </w:r>
      <w:r w:rsidR="00073762">
        <w:rPr>
          <w:rFonts w:ascii="Calibri" w:eastAsia="Calibri" w:hAnsi="Calibri" w:cs="Calibri"/>
          <w:lang w:eastAsia="en-US"/>
        </w:rPr>
        <w:t xml:space="preserve">. This has resulted in the adoption of slightly refined / updated Median Projections for the Population of Older People and the associated Labour Force - see Tables </w:t>
      </w:r>
      <w:r w:rsidR="008B350B">
        <w:rPr>
          <w:rFonts w:ascii="Calibri" w:eastAsia="Calibri" w:hAnsi="Calibri" w:cs="Calibri"/>
          <w:lang w:eastAsia="en-US"/>
        </w:rPr>
        <w:t>2</w:t>
      </w:r>
      <w:r w:rsidR="00073762">
        <w:rPr>
          <w:rFonts w:ascii="Calibri" w:eastAsia="Calibri" w:hAnsi="Calibri" w:cs="Calibri"/>
          <w:lang w:eastAsia="en-US"/>
        </w:rPr>
        <w:t xml:space="preserve"> and </w:t>
      </w:r>
      <w:r w:rsidR="008B350B">
        <w:rPr>
          <w:rFonts w:ascii="Calibri" w:eastAsia="Calibri" w:hAnsi="Calibri" w:cs="Calibri"/>
          <w:lang w:eastAsia="en-US"/>
        </w:rPr>
        <w:t>3</w:t>
      </w:r>
      <w:r w:rsidR="00073762">
        <w:rPr>
          <w:rFonts w:ascii="Calibri" w:eastAsia="Calibri" w:hAnsi="Calibri" w:cs="Calibri"/>
          <w:lang w:eastAsia="en-US"/>
        </w:rPr>
        <w:t xml:space="preserve">. </w:t>
      </w:r>
    </w:p>
    <w:p w:rsidR="00D863EE" w:rsidRDefault="008B350B" w:rsidP="00F81E94">
      <w:pPr>
        <w:spacing w:before="120" w:after="0" w:line="240" w:lineRule="auto"/>
        <w:jc w:val="both"/>
        <w:rPr>
          <w:rFonts w:ascii="Calibri" w:eastAsia="Calibri" w:hAnsi="Calibri" w:cs="Calibri"/>
          <w:lang w:eastAsia="en-US"/>
        </w:rPr>
      </w:pPr>
      <w:r>
        <w:rPr>
          <w:rFonts w:ascii="Calibri" w:eastAsia="Calibri" w:hAnsi="Calibri" w:cs="Calibri"/>
          <w:lang w:eastAsia="en-US"/>
        </w:rPr>
        <w:t xml:space="preserve">The correspondence on the review also </w:t>
      </w:r>
      <w:r w:rsidR="00D863EE">
        <w:rPr>
          <w:rFonts w:ascii="Calibri" w:eastAsia="Calibri" w:hAnsi="Calibri" w:cs="Calibri"/>
          <w:lang w:eastAsia="en-US"/>
        </w:rPr>
        <w:t>raised two substantive issues regarding:</w:t>
      </w:r>
    </w:p>
    <w:p w:rsidR="00D863EE" w:rsidRDefault="00D863EE" w:rsidP="00D863EE">
      <w:pPr>
        <w:pStyle w:val="ListParagraph"/>
        <w:numPr>
          <w:ilvl w:val="0"/>
          <w:numId w:val="6"/>
        </w:numPr>
        <w:spacing w:before="120" w:after="0" w:line="240" w:lineRule="auto"/>
        <w:jc w:val="both"/>
        <w:rPr>
          <w:rFonts w:ascii="Calibri" w:eastAsia="Calibri" w:hAnsi="Calibri" w:cs="Calibri"/>
          <w:lang w:eastAsia="en-US"/>
        </w:rPr>
      </w:pPr>
      <w:r>
        <w:rPr>
          <w:rFonts w:ascii="Calibri" w:eastAsia="Calibri" w:hAnsi="Calibri" w:cs="Calibri"/>
          <w:lang w:eastAsia="en-US"/>
        </w:rPr>
        <w:t>The desirability of emphasizing that the projected Participation Rates are subject to wide variations in probability</w:t>
      </w:r>
    </w:p>
    <w:p w:rsidR="00D863EE" w:rsidRDefault="00D863EE" w:rsidP="00D863EE">
      <w:pPr>
        <w:pStyle w:val="ListParagraph"/>
        <w:numPr>
          <w:ilvl w:val="0"/>
          <w:numId w:val="6"/>
        </w:numPr>
        <w:spacing w:before="120" w:after="0" w:line="240" w:lineRule="auto"/>
        <w:jc w:val="both"/>
        <w:rPr>
          <w:rFonts w:ascii="Calibri" w:eastAsia="Calibri" w:hAnsi="Calibri" w:cs="Calibri"/>
          <w:lang w:eastAsia="en-US"/>
        </w:rPr>
      </w:pPr>
      <w:r>
        <w:rPr>
          <w:rFonts w:ascii="Calibri" w:eastAsia="Calibri" w:hAnsi="Calibri" w:cs="Calibri"/>
          <w:lang w:eastAsia="en-US"/>
        </w:rPr>
        <w:t>The desirability of refining the assumptions that have been made in previous modelling concerning the levels of remuneration received by Older People from Paid Work and Self-Employment.</w:t>
      </w:r>
    </w:p>
    <w:p w:rsidR="005F3D36" w:rsidRDefault="001034CF" w:rsidP="005F3D36">
      <w:pPr>
        <w:spacing w:before="120" w:after="0" w:line="240" w:lineRule="auto"/>
        <w:jc w:val="both"/>
        <w:rPr>
          <w:rFonts w:ascii="Calibri" w:eastAsia="Calibri" w:hAnsi="Calibri" w:cs="Calibri"/>
          <w:lang w:eastAsia="en-US"/>
        </w:rPr>
      </w:pPr>
      <w:r>
        <w:rPr>
          <w:rFonts w:ascii="Calibri" w:eastAsia="Calibri" w:hAnsi="Calibri" w:cs="Calibri"/>
          <w:lang w:eastAsia="en-US"/>
        </w:rPr>
        <w:t>Th</w:t>
      </w:r>
      <w:r w:rsidR="000E202B">
        <w:rPr>
          <w:rFonts w:ascii="Calibri" w:eastAsia="Calibri" w:hAnsi="Calibri" w:cs="Calibri"/>
          <w:lang w:eastAsia="en-US"/>
        </w:rPr>
        <w:t>ese issues are addressed in the</w:t>
      </w:r>
      <w:r w:rsidR="000E15FE">
        <w:rPr>
          <w:rFonts w:ascii="Calibri" w:eastAsia="Calibri" w:hAnsi="Calibri" w:cs="Calibri"/>
          <w:lang w:eastAsia="en-US"/>
        </w:rPr>
        <w:t xml:space="preserve"> Technical Appendix</w:t>
      </w:r>
      <w:r w:rsidR="000E202B">
        <w:rPr>
          <w:rFonts w:ascii="Calibri" w:eastAsia="Calibri" w:hAnsi="Calibri" w:cs="Calibri"/>
          <w:lang w:eastAsia="en-US"/>
        </w:rPr>
        <w:t xml:space="preserve"> to the Report</w:t>
      </w:r>
      <w:r>
        <w:rPr>
          <w:rFonts w:ascii="Calibri" w:eastAsia="Calibri" w:hAnsi="Calibri" w:cs="Calibri"/>
          <w:lang w:eastAsia="en-US"/>
        </w:rPr>
        <w:t>.</w:t>
      </w:r>
    </w:p>
    <w:p w:rsidR="00BC0F2D" w:rsidRDefault="00BC0F2D">
      <w:pPr>
        <w:rPr>
          <w:rFonts w:ascii="Calibri" w:eastAsia="Calibri" w:hAnsi="Calibri" w:cs="Calibri"/>
          <w:b/>
          <w:sz w:val="24"/>
          <w:szCs w:val="24"/>
          <w:lang w:eastAsia="en-US"/>
        </w:rPr>
      </w:pPr>
    </w:p>
    <w:p w:rsidR="00BC0F2D" w:rsidRPr="00F81E94" w:rsidRDefault="00BC0F2D" w:rsidP="00BC0F2D">
      <w:pPr>
        <w:spacing w:before="120" w:after="0" w:line="240" w:lineRule="auto"/>
        <w:jc w:val="both"/>
        <w:rPr>
          <w:rFonts w:ascii="Calibri" w:eastAsia="Calibri" w:hAnsi="Calibri" w:cs="Calibri"/>
          <w:b/>
          <w:sz w:val="24"/>
          <w:szCs w:val="24"/>
          <w:lang w:eastAsia="en-US"/>
        </w:rPr>
      </w:pPr>
      <w:r w:rsidRPr="00F81E94">
        <w:rPr>
          <w:rFonts w:ascii="Calibri" w:eastAsia="Calibri" w:hAnsi="Calibri" w:cs="Calibri"/>
          <w:b/>
          <w:sz w:val="24"/>
          <w:szCs w:val="24"/>
          <w:lang w:eastAsia="en-US"/>
        </w:rPr>
        <w:t>Results of Updating the Basic Model</w:t>
      </w:r>
    </w:p>
    <w:p w:rsidR="00BC0F2D" w:rsidRPr="00293304" w:rsidRDefault="00BC0F2D" w:rsidP="00BC0F2D">
      <w:pPr>
        <w:spacing w:before="120" w:after="0" w:line="240" w:lineRule="auto"/>
        <w:jc w:val="both"/>
        <w:rPr>
          <w:rFonts w:ascii="Calibri" w:eastAsia="Calibri" w:hAnsi="Calibri" w:cs="Calibri"/>
          <w:lang w:eastAsia="en-US"/>
        </w:rPr>
      </w:pPr>
      <w:r w:rsidRPr="00293304">
        <w:rPr>
          <w:rFonts w:ascii="Calibri" w:eastAsia="Calibri" w:hAnsi="Calibri" w:cs="Calibri"/>
          <w:lang w:eastAsia="en-US"/>
        </w:rPr>
        <w:t xml:space="preserve">The Updated Participation Rate Projections </w:t>
      </w:r>
      <w:r w:rsidR="000E15FE" w:rsidRPr="00293304">
        <w:rPr>
          <w:rFonts w:ascii="Calibri" w:eastAsia="Calibri" w:hAnsi="Calibri" w:cs="Calibri"/>
          <w:lang w:eastAsia="en-US"/>
        </w:rPr>
        <w:t xml:space="preserve">for Older New Zealanders (applying current Median Projections for the Population and the Labour Force) </w:t>
      </w:r>
      <w:r w:rsidRPr="00293304">
        <w:rPr>
          <w:rFonts w:ascii="Calibri" w:eastAsia="Calibri" w:hAnsi="Calibri" w:cs="Calibri"/>
          <w:lang w:eastAsia="en-US"/>
        </w:rPr>
        <w:t xml:space="preserve">suggest that while around 52 percent of </w:t>
      </w:r>
      <w:r w:rsidR="000E15FE" w:rsidRPr="00293304">
        <w:rPr>
          <w:rFonts w:ascii="Calibri" w:eastAsia="Calibri" w:hAnsi="Calibri" w:cs="Calibri"/>
          <w:lang w:eastAsia="en-US"/>
        </w:rPr>
        <w:t xml:space="preserve">men between the ages of 65 and 69 </w:t>
      </w:r>
      <w:r w:rsidRPr="00293304">
        <w:rPr>
          <w:rFonts w:ascii="Calibri" w:eastAsia="Calibri" w:hAnsi="Calibri" w:cs="Calibri"/>
          <w:lang w:eastAsia="en-US"/>
        </w:rPr>
        <w:t xml:space="preserve">participate in the Labour Force at present, 62 percent of this group are </w:t>
      </w:r>
      <w:r w:rsidR="00293304" w:rsidRPr="00293304">
        <w:rPr>
          <w:rFonts w:ascii="Calibri" w:eastAsia="Calibri" w:hAnsi="Calibri" w:cs="Calibri"/>
          <w:lang w:eastAsia="en-US"/>
        </w:rPr>
        <w:t>likely to participate by 20</w:t>
      </w:r>
      <w:r w:rsidRPr="00293304">
        <w:rPr>
          <w:rFonts w:ascii="Calibri" w:eastAsia="Calibri" w:hAnsi="Calibri" w:cs="Calibri"/>
          <w:lang w:eastAsia="en-US"/>
        </w:rPr>
        <w:t>61. The comparable figures for women in this cohort are 36 percent</w:t>
      </w:r>
      <w:r w:rsidR="00293304" w:rsidRPr="00293304">
        <w:rPr>
          <w:rFonts w:ascii="Calibri" w:eastAsia="Calibri" w:hAnsi="Calibri" w:cs="Calibri"/>
          <w:lang w:eastAsia="en-US"/>
        </w:rPr>
        <w:t xml:space="preserve"> current and 48 percent by 20</w:t>
      </w:r>
      <w:r w:rsidRPr="00293304">
        <w:rPr>
          <w:rFonts w:ascii="Calibri" w:eastAsia="Calibri" w:hAnsi="Calibri" w:cs="Calibri"/>
          <w:lang w:eastAsia="en-US"/>
        </w:rPr>
        <w:t xml:space="preserve">61. By mid-century, nine percent of males over 80 and five percent of women over 80 are likely to be working. </w:t>
      </w:r>
    </w:p>
    <w:p w:rsidR="003D1424" w:rsidRDefault="00BC0F2D" w:rsidP="00BC0F2D">
      <w:pPr>
        <w:spacing w:before="120" w:after="0" w:line="240" w:lineRule="auto"/>
        <w:jc w:val="both"/>
      </w:pPr>
      <w:r w:rsidRPr="00293304">
        <w:rPr>
          <w:rFonts w:ascii="Calibri" w:eastAsia="Calibri" w:hAnsi="Calibri" w:cs="Calibri"/>
          <w:lang w:eastAsia="en-US"/>
        </w:rPr>
        <w:t xml:space="preserve">The overall Participation Rate for Older People </w:t>
      </w:r>
      <w:r w:rsidR="003D1424">
        <w:rPr>
          <w:rFonts w:ascii="Calibri" w:eastAsia="Calibri" w:hAnsi="Calibri" w:cs="Calibri"/>
          <w:lang w:eastAsia="en-US"/>
        </w:rPr>
        <w:t>is projected to rise slightly from around 24</w:t>
      </w:r>
      <w:r w:rsidRPr="00293304">
        <w:rPr>
          <w:rFonts w:ascii="Calibri" w:eastAsia="Calibri" w:hAnsi="Calibri" w:cs="Calibri"/>
          <w:lang w:eastAsia="en-US"/>
        </w:rPr>
        <w:t xml:space="preserve"> percent (</w:t>
      </w:r>
      <w:proofErr w:type="gramStart"/>
      <w:r w:rsidRPr="00293304">
        <w:rPr>
          <w:rFonts w:ascii="Calibri" w:eastAsia="Calibri" w:hAnsi="Calibri" w:cs="Calibri"/>
          <w:lang w:eastAsia="en-US"/>
        </w:rPr>
        <w:t>current</w:t>
      </w:r>
      <w:proofErr w:type="gramEnd"/>
      <w:r w:rsidRPr="00293304">
        <w:rPr>
          <w:rFonts w:ascii="Calibri" w:eastAsia="Calibri" w:hAnsi="Calibri" w:cs="Calibri"/>
          <w:lang w:eastAsia="en-US"/>
        </w:rPr>
        <w:t>) to around 25 percent by 2051-2061</w:t>
      </w:r>
      <w:r w:rsidR="000E15FE" w:rsidRPr="00293304">
        <w:rPr>
          <w:rFonts w:ascii="Calibri" w:eastAsia="Calibri" w:hAnsi="Calibri" w:cs="Calibri"/>
          <w:lang w:eastAsia="en-US"/>
        </w:rPr>
        <w:t xml:space="preserve">. </w:t>
      </w:r>
      <w:r w:rsidR="003D1424">
        <w:rPr>
          <w:rFonts w:ascii="Calibri" w:eastAsia="Calibri" w:hAnsi="Calibri" w:cs="Calibri"/>
          <w:lang w:eastAsia="en-US"/>
        </w:rPr>
        <w:t>However, t</w:t>
      </w:r>
      <w:r w:rsidR="000E15FE" w:rsidRPr="00293304">
        <w:rPr>
          <w:rFonts w:ascii="Calibri" w:eastAsia="Calibri" w:hAnsi="Calibri" w:cs="Calibri"/>
          <w:lang w:eastAsia="en-US"/>
        </w:rPr>
        <w:t xml:space="preserve">here is considerable uncertainty surrounding the projections and </w:t>
      </w:r>
      <w:proofErr w:type="spellStart"/>
      <w:r w:rsidR="000E15FE" w:rsidRPr="00293304">
        <w:rPr>
          <w:rFonts w:ascii="Calibri" w:eastAsia="Calibri" w:hAnsi="Calibri" w:cs="Calibri"/>
          <w:lang w:eastAsia="en-US"/>
        </w:rPr>
        <w:t>StatsNZ</w:t>
      </w:r>
      <w:proofErr w:type="spellEnd"/>
      <w:r w:rsidR="000E15FE" w:rsidRPr="00293304">
        <w:rPr>
          <w:rFonts w:ascii="Calibri" w:eastAsia="Calibri" w:hAnsi="Calibri" w:cs="Calibri"/>
          <w:lang w:eastAsia="en-US"/>
        </w:rPr>
        <w:t xml:space="preserve"> have provided probability bounds for the projections</w:t>
      </w:r>
      <w:r w:rsidR="003D1424">
        <w:rPr>
          <w:rFonts w:ascii="Calibri" w:eastAsia="Calibri" w:hAnsi="Calibri" w:cs="Calibri"/>
          <w:lang w:eastAsia="en-US"/>
        </w:rPr>
        <w:t xml:space="preserve"> in a statistical series that has been specially developed for this study</w:t>
      </w:r>
      <w:r w:rsidR="008747B4">
        <w:rPr>
          <w:rFonts w:ascii="Calibri" w:eastAsia="Calibri" w:hAnsi="Calibri" w:cs="Calibri"/>
          <w:lang w:eastAsia="en-US"/>
        </w:rPr>
        <w:t xml:space="preserve"> [see Table 8]</w:t>
      </w:r>
      <w:r w:rsidR="003D1424">
        <w:rPr>
          <w:rFonts w:ascii="Calibri" w:eastAsia="Calibri" w:hAnsi="Calibri" w:cs="Calibri"/>
          <w:lang w:eastAsia="en-US"/>
        </w:rPr>
        <w:t xml:space="preserve">. These </w:t>
      </w:r>
      <w:r w:rsidR="00293304" w:rsidRPr="00293304">
        <w:rPr>
          <w:rFonts w:ascii="Calibri" w:eastAsia="Calibri" w:hAnsi="Calibri" w:cs="Calibri"/>
          <w:lang w:eastAsia="en-US"/>
        </w:rPr>
        <w:t>illustrate</w:t>
      </w:r>
      <w:r w:rsidR="003D1424">
        <w:rPr>
          <w:rFonts w:ascii="Calibri" w:eastAsia="Calibri" w:hAnsi="Calibri" w:cs="Calibri"/>
          <w:lang w:eastAsia="en-US"/>
        </w:rPr>
        <w:t>, for example,</w:t>
      </w:r>
      <w:r w:rsidR="000E15FE" w:rsidRPr="00293304">
        <w:rPr>
          <w:rFonts w:ascii="Calibri" w:eastAsia="Calibri" w:hAnsi="Calibri" w:cs="Calibri"/>
          <w:lang w:eastAsia="en-US"/>
        </w:rPr>
        <w:t xml:space="preserve"> that</w:t>
      </w:r>
      <w:r w:rsidR="00293304" w:rsidRPr="00293304">
        <w:rPr>
          <w:rFonts w:ascii="Calibri" w:eastAsia="Calibri" w:hAnsi="Calibri" w:cs="Calibri"/>
          <w:lang w:eastAsia="en-US"/>
        </w:rPr>
        <w:t xml:space="preserve"> </w:t>
      </w:r>
      <w:r w:rsidR="003D1424">
        <w:t>there i</w:t>
      </w:r>
      <w:r w:rsidR="008747B4">
        <w:t>s a 5</w:t>
      </w:r>
      <w:r w:rsidR="003D1424">
        <w:t xml:space="preserve"> percent probability that the labour force participation rate for older people will be</w:t>
      </w:r>
      <w:r w:rsidR="008747B4">
        <w:t xml:space="preserve"> lower than </w:t>
      </w:r>
      <w:r w:rsidR="003D1424">
        <w:t xml:space="preserve">16 percent </w:t>
      </w:r>
      <w:r w:rsidR="008747B4">
        <w:t xml:space="preserve">in 2061, and a 5 percent probability that it will be higher than </w:t>
      </w:r>
      <w:r w:rsidR="003D1424">
        <w:t xml:space="preserve">33 percent in 2061. </w:t>
      </w:r>
    </w:p>
    <w:p w:rsidR="00BC0F2D" w:rsidRDefault="00BC0F2D" w:rsidP="00BC0F2D">
      <w:pPr>
        <w:spacing w:before="120" w:after="0" w:line="240" w:lineRule="auto"/>
        <w:jc w:val="both"/>
        <w:rPr>
          <w:rFonts w:ascii="Calibri" w:eastAsia="Calibri" w:hAnsi="Calibri" w:cs="Calibri"/>
          <w:lang w:eastAsia="en-US"/>
        </w:rPr>
      </w:pPr>
      <w:r w:rsidRPr="001E0DDA">
        <w:rPr>
          <w:rFonts w:ascii="Calibri" w:eastAsia="Calibri" w:hAnsi="Calibri" w:cs="Calibri"/>
          <w:lang w:eastAsia="en-US"/>
        </w:rPr>
        <w:t>The percentage of Older People in the overall Labour Force i</w:t>
      </w:r>
      <w:r w:rsidR="001E0DDA" w:rsidRPr="001E0DDA">
        <w:rPr>
          <w:rFonts w:ascii="Calibri" w:eastAsia="Calibri" w:hAnsi="Calibri" w:cs="Calibri"/>
          <w:lang w:eastAsia="en-US"/>
        </w:rPr>
        <w:t>s likely to rise from around 7 percent at present to around 12</w:t>
      </w:r>
      <w:r w:rsidRPr="001E0DDA">
        <w:rPr>
          <w:rFonts w:ascii="Calibri" w:eastAsia="Calibri" w:hAnsi="Calibri" w:cs="Calibri"/>
          <w:lang w:eastAsia="en-US"/>
        </w:rPr>
        <w:t xml:space="preserve"> percent by 2061</w:t>
      </w:r>
      <w:r w:rsidR="003D1424">
        <w:rPr>
          <w:rFonts w:ascii="Calibri" w:eastAsia="Calibri" w:hAnsi="Calibri" w:cs="Calibri"/>
          <w:lang w:eastAsia="en-US"/>
        </w:rPr>
        <w:t xml:space="preserve"> (Median projections).</w:t>
      </w:r>
      <w:r w:rsidRPr="001E0DDA">
        <w:rPr>
          <w:rFonts w:ascii="Calibri" w:eastAsia="Calibri" w:hAnsi="Calibri" w:cs="Calibri"/>
          <w:lang w:eastAsia="en-US"/>
        </w:rPr>
        <w:t xml:space="preserve"> </w:t>
      </w:r>
    </w:p>
    <w:p w:rsidR="00BC0F2D" w:rsidRPr="00D778BC" w:rsidRDefault="000E202B" w:rsidP="00BC0F2D">
      <w:pPr>
        <w:spacing w:before="120" w:after="0" w:line="240" w:lineRule="auto"/>
        <w:jc w:val="both"/>
        <w:rPr>
          <w:rFonts w:ascii="Calibri" w:eastAsia="Calibri" w:hAnsi="Calibri" w:cs="Calibri"/>
          <w:color w:val="000000" w:themeColor="text1"/>
          <w:lang w:eastAsia="en-US"/>
        </w:rPr>
      </w:pPr>
      <w:r w:rsidRPr="00D778BC">
        <w:rPr>
          <w:rFonts w:ascii="Calibri" w:eastAsia="Calibri" w:hAnsi="Calibri" w:cs="Calibri"/>
          <w:color w:val="000000" w:themeColor="text1"/>
          <w:lang w:eastAsia="en-US"/>
        </w:rPr>
        <w:lastRenderedPageBreak/>
        <w:t xml:space="preserve">According to this set of projections, </w:t>
      </w:r>
      <w:r w:rsidR="00BE6AE4" w:rsidRPr="00D778BC">
        <w:rPr>
          <w:rFonts w:ascii="Calibri" w:eastAsia="Calibri" w:hAnsi="Calibri" w:cs="Calibri"/>
          <w:color w:val="000000" w:themeColor="text1"/>
          <w:lang w:eastAsia="en-US"/>
        </w:rPr>
        <w:t>Wage</w:t>
      </w:r>
      <w:r w:rsidR="00BC0F2D" w:rsidRPr="00D778BC">
        <w:rPr>
          <w:rFonts w:ascii="Calibri" w:eastAsia="Calibri" w:hAnsi="Calibri" w:cs="Calibri"/>
          <w:color w:val="000000" w:themeColor="text1"/>
          <w:lang w:eastAsia="en-US"/>
        </w:rPr>
        <w:t xml:space="preserve"> </w:t>
      </w:r>
      <w:r w:rsidRPr="00D778BC">
        <w:rPr>
          <w:rFonts w:ascii="Calibri" w:eastAsia="Calibri" w:hAnsi="Calibri" w:cs="Calibri"/>
          <w:color w:val="000000" w:themeColor="text1"/>
          <w:lang w:eastAsia="en-US"/>
        </w:rPr>
        <w:t>and Salar</w:t>
      </w:r>
      <w:r w:rsidR="00BE6AE4" w:rsidRPr="00D778BC">
        <w:rPr>
          <w:rFonts w:ascii="Calibri" w:eastAsia="Calibri" w:hAnsi="Calibri" w:cs="Calibri"/>
          <w:color w:val="000000" w:themeColor="text1"/>
          <w:lang w:eastAsia="en-US"/>
        </w:rPr>
        <w:t>y [i.e. Paid Work]</w:t>
      </w:r>
      <w:r w:rsidRPr="00D778BC">
        <w:rPr>
          <w:rFonts w:ascii="Calibri" w:eastAsia="Calibri" w:hAnsi="Calibri" w:cs="Calibri"/>
          <w:color w:val="000000" w:themeColor="text1"/>
          <w:lang w:eastAsia="en-US"/>
        </w:rPr>
        <w:t xml:space="preserve"> </w:t>
      </w:r>
      <w:r w:rsidR="00BE6AE4" w:rsidRPr="00D778BC">
        <w:rPr>
          <w:rFonts w:ascii="Calibri" w:eastAsia="Calibri" w:hAnsi="Calibri" w:cs="Calibri"/>
          <w:color w:val="000000" w:themeColor="text1"/>
          <w:lang w:eastAsia="en-US"/>
        </w:rPr>
        <w:t>earnings</w:t>
      </w:r>
      <w:r w:rsidR="00BC0F2D" w:rsidRPr="00D778BC">
        <w:rPr>
          <w:rFonts w:ascii="Calibri" w:eastAsia="Calibri" w:hAnsi="Calibri" w:cs="Calibri"/>
          <w:color w:val="000000" w:themeColor="text1"/>
          <w:lang w:eastAsia="en-US"/>
        </w:rPr>
        <w:t xml:space="preserve"> by Older People are </w:t>
      </w:r>
      <w:r w:rsidRPr="00D778BC">
        <w:rPr>
          <w:rFonts w:ascii="Calibri" w:eastAsia="Calibri" w:hAnsi="Calibri" w:cs="Calibri"/>
          <w:color w:val="000000" w:themeColor="text1"/>
          <w:lang w:eastAsia="en-US"/>
        </w:rPr>
        <w:t>likely to rise from around $4.</w:t>
      </w:r>
      <w:r w:rsidR="008747B4" w:rsidRPr="00D778BC">
        <w:rPr>
          <w:rFonts w:ascii="Calibri" w:eastAsia="Calibri" w:hAnsi="Calibri" w:cs="Calibri"/>
          <w:color w:val="000000" w:themeColor="text1"/>
          <w:lang w:eastAsia="en-US"/>
        </w:rPr>
        <w:t>8</w:t>
      </w:r>
      <w:r w:rsidR="00BC0F2D" w:rsidRPr="00D778BC">
        <w:rPr>
          <w:rFonts w:ascii="Calibri" w:eastAsia="Calibri" w:hAnsi="Calibri" w:cs="Calibri"/>
          <w:color w:val="000000" w:themeColor="text1"/>
          <w:lang w:eastAsia="en-US"/>
        </w:rPr>
        <w:t xml:space="preserve"> billion in 2016 to a</w:t>
      </w:r>
      <w:r w:rsidR="008747B4" w:rsidRPr="00D778BC">
        <w:rPr>
          <w:rFonts w:ascii="Calibri" w:eastAsia="Calibri" w:hAnsi="Calibri" w:cs="Calibri"/>
          <w:color w:val="000000" w:themeColor="text1"/>
          <w:lang w:eastAsia="en-US"/>
        </w:rPr>
        <w:t>round $10.7</w:t>
      </w:r>
      <w:r w:rsidR="00BE6AE4" w:rsidRPr="00D778BC">
        <w:rPr>
          <w:rFonts w:ascii="Calibri" w:eastAsia="Calibri" w:hAnsi="Calibri" w:cs="Calibri"/>
          <w:color w:val="000000" w:themeColor="text1"/>
          <w:lang w:eastAsia="en-US"/>
        </w:rPr>
        <w:t xml:space="preserve"> billion in 2031, $13</w:t>
      </w:r>
      <w:r w:rsidR="008747B4" w:rsidRPr="00D778BC">
        <w:rPr>
          <w:rFonts w:ascii="Calibri" w:eastAsia="Calibri" w:hAnsi="Calibri" w:cs="Calibri"/>
          <w:color w:val="000000" w:themeColor="text1"/>
          <w:lang w:eastAsia="en-US"/>
        </w:rPr>
        <w:t>.6</w:t>
      </w:r>
      <w:r w:rsidR="00BC0F2D" w:rsidRPr="00D778BC">
        <w:rPr>
          <w:rFonts w:ascii="Calibri" w:eastAsia="Calibri" w:hAnsi="Calibri" w:cs="Calibri"/>
          <w:color w:val="000000" w:themeColor="text1"/>
          <w:lang w:eastAsia="en-US"/>
        </w:rPr>
        <w:t xml:space="preserve"> billion in 20</w:t>
      </w:r>
      <w:r w:rsidR="008747B4" w:rsidRPr="00D778BC">
        <w:rPr>
          <w:rFonts w:ascii="Calibri" w:eastAsia="Calibri" w:hAnsi="Calibri" w:cs="Calibri"/>
          <w:color w:val="000000" w:themeColor="text1"/>
          <w:lang w:eastAsia="en-US"/>
        </w:rPr>
        <w:t>41 and $22</w:t>
      </w:r>
      <w:r w:rsidR="00BE6AE4" w:rsidRPr="00D778BC">
        <w:rPr>
          <w:rFonts w:ascii="Calibri" w:eastAsia="Calibri" w:hAnsi="Calibri" w:cs="Calibri"/>
          <w:color w:val="000000" w:themeColor="text1"/>
          <w:lang w:eastAsia="en-US"/>
        </w:rPr>
        <w:t>.8</w:t>
      </w:r>
      <w:r w:rsidR="008747B4" w:rsidRPr="00D778BC">
        <w:rPr>
          <w:rFonts w:ascii="Calibri" w:eastAsia="Calibri" w:hAnsi="Calibri" w:cs="Calibri"/>
          <w:color w:val="000000" w:themeColor="text1"/>
          <w:lang w:eastAsia="en-US"/>
        </w:rPr>
        <w:t xml:space="preserve"> billion in 2061.</w:t>
      </w:r>
    </w:p>
    <w:p w:rsidR="00BC0F2D" w:rsidRPr="00D778BC" w:rsidRDefault="00BC0F2D" w:rsidP="00BC0F2D">
      <w:pPr>
        <w:spacing w:before="120" w:after="0" w:line="240" w:lineRule="auto"/>
        <w:jc w:val="both"/>
        <w:rPr>
          <w:rFonts w:ascii="Calibri" w:eastAsia="Calibri" w:hAnsi="Calibri" w:cs="Calibri"/>
          <w:lang w:eastAsia="en-US"/>
        </w:rPr>
      </w:pPr>
      <w:r w:rsidRPr="00D778BC">
        <w:rPr>
          <w:rFonts w:ascii="Calibri" w:eastAsia="Calibri" w:hAnsi="Calibri" w:cs="Calibri"/>
          <w:lang w:eastAsia="en-US"/>
        </w:rPr>
        <w:t xml:space="preserve">Remuneration from Self-employment by Older People is similarly likely to rise </w:t>
      </w:r>
      <w:r w:rsidR="008747B4" w:rsidRPr="00D778BC">
        <w:rPr>
          <w:rFonts w:ascii="Calibri" w:eastAsia="Calibri" w:hAnsi="Calibri" w:cs="Calibri"/>
          <w:lang w:eastAsia="en-US"/>
        </w:rPr>
        <w:t>from around $1.7 billion in 2016 to around $3.8 billion in 2031, $4.8 billion in 2041 and $8.1</w:t>
      </w:r>
      <w:r w:rsidRPr="00D778BC">
        <w:rPr>
          <w:rFonts w:ascii="Calibri" w:eastAsia="Calibri" w:hAnsi="Calibri" w:cs="Calibri"/>
          <w:lang w:eastAsia="en-US"/>
        </w:rPr>
        <w:t xml:space="preserve"> billion in 2061 (2016 $)</w:t>
      </w:r>
      <w:r w:rsidR="008747B4" w:rsidRPr="00D778BC">
        <w:rPr>
          <w:rFonts w:ascii="Calibri" w:eastAsia="Calibri" w:hAnsi="Calibri" w:cs="Calibri"/>
          <w:lang w:eastAsia="en-US"/>
        </w:rPr>
        <w:t>.</w:t>
      </w:r>
      <w:r w:rsidRPr="00D778BC">
        <w:rPr>
          <w:rFonts w:ascii="Calibri" w:eastAsia="Calibri" w:hAnsi="Calibri" w:cs="Calibri"/>
          <w:lang w:eastAsia="en-US"/>
        </w:rPr>
        <w:t xml:space="preserve"> </w:t>
      </w:r>
    </w:p>
    <w:p w:rsidR="00BC0F2D" w:rsidRPr="00D778BC" w:rsidRDefault="00BC0F2D" w:rsidP="00BC0F2D">
      <w:pPr>
        <w:spacing w:before="120" w:after="0" w:line="240" w:lineRule="auto"/>
        <w:jc w:val="both"/>
        <w:rPr>
          <w:rFonts w:ascii="Calibri" w:eastAsia="Calibri" w:hAnsi="Calibri" w:cs="Calibri"/>
          <w:lang w:eastAsia="en-US"/>
        </w:rPr>
      </w:pPr>
      <w:r w:rsidRPr="00D778BC">
        <w:rPr>
          <w:rFonts w:ascii="Calibri" w:eastAsia="Calibri" w:hAnsi="Calibri" w:cs="Calibri"/>
          <w:lang w:eastAsia="en-US"/>
        </w:rPr>
        <w:t xml:space="preserve">Income Tax paid by Older People </w:t>
      </w:r>
      <w:r w:rsidR="00BE6AE4" w:rsidRPr="00D778BC">
        <w:rPr>
          <w:rFonts w:ascii="Calibri" w:eastAsia="Calibri" w:hAnsi="Calibri" w:cs="Calibri"/>
          <w:lang w:eastAsia="en-US"/>
        </w:rPr>
        <w:t xml:space="preserve">on Remunerated Work </w:t>
      </w:r>
      <w:r w:rsidRPr="00D778BC">
        <w:rPr>
          <w:rFonts w:ascii="Calibri" w:eastAsia="Calibri" w:hAnsi="Calibri" w:cs="Calibri"/>
          <w:lang w:eastAsia="en-US"/>
        </w:rPr>
        <w:t>is pr</w:t>
      </w:r>
      <w:r w:rsidR="00BE6AE4" w:rsidRPr="00D778BC">
        <w:rPr>
          <w:rFonts w:ascii="Calibri" w:eastAsia="Calibri" w:hAnsi="Calibri" w:cs="Calibri"/>
          <w:lang w:eastAsia="en-US"/>
        </w:rPr>
        <w:t xml:space="preserve">ojected to rise from around $1.0 billion in 2016 to $2.1 </w:t>
      </w:r>
      <w:proofErr w:type="spellStart"/>
      <w:r w:rsidR="00BE6AE4" w:rsidRPr="00D778BC">
        <w:rPr>
          <w:rFonts w:ascii="Calibri" w:eastAsia="Calibri" w:hAnsi="Calibri" w:cs="Calibri"/>
          <w:lang w:eastAsia="en-US"/>
        </w:rPr>
        <w:t>bn</w:t>
      </w:r>
      <w:proofErr w:type="spellEnd"/>
      <w:r w:rsidR="00BE6AE4" w:rsidRPr="00D778BC">
        <w:rPr>
          <w:rFonts w:ascii="Calibri" w:eastAsia="Calibri" w:hAnsi="Calibri" w:cs="Calibri"/>
          <w:lang w:eastAsia="en-US"/>
        </w:rPr>
        <w:t xml:space="preserve"> in 2031, 2.7 </w:t>
      </w:r>
      <w:proofErr w:type="spellStart"/>
      <w:r w:rsidR="00BE6AE4" w:rsidRPr="00D778BC">
        <w:rPr>
          <w:rFonts w:ascii="Calibri" w:eastAsia="Calibri" w:hAnsi="Calibri" w:cs="Calibri"/>
          <w:lang w:eastAsia="en-US"/>
        </w:rPr>
        <w:t>bn</w:t>
      </w:r>
      <w:proofErr w:type="spellEnd"/>
      <w:r w:rsidR="00BE6AE4" w:rsidRPr="00D778BC">
        <w:rPr>
          <w:rFonts w:ascii="Calibri" w:eastAsia="Calibri" w:hAnsi="Calibri" w:cs="Calibri"/>
          <w:lang w:eastAsia="en-US"/>
        </w:rPr>
        <w:t xml:space="preserve"> in 2041 and $4.6</w:t>
      </w:r>
      <w:r w:rsidRPr="00D778BC">
        <w:rPr>
          <w:rFonts w:ascii="Calibri" w:eastAsia="Calibri" w:hAnsi="Calibri" w:cs="Calibri"/>
          <w:lang w:eastAsia="en-US"/>
        </w:rPr>
        <w:t xml:space="preserve"> </w:t>
      </w:r>
      <w:proofErr w:type="spellStart"/>
      <w:r w:rsidRPr="00D778BC">
        <w:rPr>
          <w:rFonts w:ascii="Calibri" w:eastAsia="Calibri" w:hAnsi="Calibri" w:cs="Calibri"/>
          <w:lang w:eastAsia="en-US"/>
        </w:rPr>
        <w:t>bn</w:t>
      </w:r>
      <w:proofErr w:type="spellEnd"/>
      <w:r w:rsidRPr="00D778BC">
        <w:rPr>
          <w:rFonts w:ascii="Calibri" w:eastAsia="Calibri" w:hAnsi="Calibri" w:cs="Calibri"/>
          <w:lang w:eastAsia="en-US"/>
        </w:rPr>
        <w:t xml:space="preserve"> in 2061</w:t>
      </w:r>
      <w:r w:rsidR="008747B4" w:rsidRPr="00D778BC">
        <w:rPr>
          <w:rFonts w:ascii="Calibri" w:eastAsia="Calibri" w:hAnsi="Calibri" w:cs="Calibri"/>
          <w:lang w:eastAsia="en-US"/>
        </w:rPr>
        <w:t>.</w:t>
      </w:r>
      <w:r w:rsidRPr="00D778BC">
        <w:rPr>
          <w:rFonts w:ascii="Calibri" w:eastAsia="Calibri" w:hAnsi="Calibri" w:cs="Calibri"/>
          <w:lang w:eastAsia="en-US"/>
        </w:rPr>
        <w:t xml:space="preserve"> </w:t>
      </w:r>
    </w:p>
    <w:p w:rsidR="00BC0F2D" w:rsidRPr="00D778BC" w:rsidRDefault="00BC0F2D" w:rsidP="00BC0F2D">
      <w:pPr>
        <w:spacing w:before="120" w:after="0" w:line="240" w:lineRule="auto"/>
        <w:jc w:val="both"/>
        <w:rPr>
          <w:rFonts w:ascii="Calibri" w:eastAsia="Calibri" w:hAnsi="Calibri" w:cs="Calibri"/>
          <w:lang w:eastAsia="en-US"/>
        </w:rPr>
      </w:pPr>
      <w:r w:rsidRPr="00D778BC">
        <w:rPr>
          <w:rFonts w:ascii="Calibri" w:eastAsia="Calibri" w:hAnsi="Calibri" w:cs="Calibri"/>
          <w:lang w:eastAsia="en-US"/>
        </w:rPr>
        <w:t>The value of all tax paid by Older People (including payments on pensions including NZ Super, investments and GST) is projected to rise</w:t>
      </w:r>
      <w:r w:rsidR="00BE6AE4" w:rsidRPr="00D778BC">
        <w:rPr>
          <w:rFonts w:ascii="Calibri" w:eastAsia="Calibri" w:hAnsi="Calibri" w:cs="Calibri"/>
          <w:lang w:eastAsia="en-US"/>
        </w:rPr>
        <w:t xml:space="preserve"> from around $5.5 billion in 2016 to $11.3 </w:t>
      </w:r>
      <w:proofErr w:type="spellStart"/>
      <w:r w:rsidR="00BE6AE4" w:rsidRPr="00D778BC">
        <w:rPr>
          <w:rFonts w:ascii="Calibri" w:eastAsia="Calibri" w:hAnsi="Calibri" w:cs="Calibri"/>
          <w:lang w:eastAsia="en-US"/>
        </w:rPr>
        <w:t>bn</w:t>
      </w:r>
      <w:proofErr w:type="spellEnd"/>
      <w:r w:rsidR="00BE6AE4" w:rsidRPr="00D778BC">
        <w:rPr>
          <w:rFonts w:ascii="Calibri" w:eastAsia="Calibri" w:hAnsi="Calibri" w:cs="Calibri"/>
          <w:lang w:eastAsia="en-US"/>
        </w:rPr>
        <w:t xml:space="preserve"> in 2031, $15.3 </w:t>
      </w:r>
      <w:proofErr w:type="spellStart"/>
      <w:r w:rsidR="00BE6AE4" w:rsidRPr="00D778BC">
        <w:rPr>
          <w:rFonts w:ascii="Calibri" w:eastAsia="Calibri" w:hAnsi="Calibri" w:cs="Calibri"/>
          <w:lang w:eastAsia="en-US"/>
        </w:rPr>
        <w:t>bn</w:t>
      </w:r>
      <w:proofErr w:type="spellEnd"/>
      <w:r w:rsidR="00BE6AE4" w:rsidRPr="00D778BC">
        <w:rPr>
          <w:rFonts w:ascii="Calibri" w:eastAsia="Calibri" w:hAnsi="Calibri" w:cs="Calibri"/>
          <w:lang w:eastAsia="en-US"/>
        </w:rPr>
        <w:t xml:space="preserve"> in 2041 and $25</w:t>
      </w:r>
      <w:r w:rsidRPr="00D778BC">
        <w:rPr>
          <w:rFonts w:ascii="Calibri" w:eastAsia="Calibri" w:hAnsi="Calibri" w:cs="Calibri"/>
          <w:lang w:eastAsia="en-US"/>
        </w:rPr>
        <w:t xml:space="preserve">.1 </w:t>
      </w:r>
      <w:proofErr w:type="spellStart"/>
      <w:r w:rsidRPr="00D778BC">
        <w:rPr>
          <w:rFonts w:ascii="Calibri" w:eastAsia="Calibri" w:hAnsi="Calibri" w:cs="Calibri"/>
          <w:lang w:eastAsia="en-US"/>
        </w:rPr>
        <w:t>bn</w:t>
      </w:r>
      <w:proofErr w:type="spellEnd"/>
      <w:r w:rsidRPr="00D778BC">
        <w:rPr>
          <w:rFonts w:ascii="Calibri" w:eastAsia="Calibri" w:hAnsi="Calibri" w:cs="Calibri"/>
          <w:lang w:eastAsia="en-US"/>
        </w:rPr>
        <w:t xml:space="preserve"> in 2061</w:t>
      </w:r>
      <w:r w:rsidR="008747B4" w:rsidRPr="00D778BC">
        <w:rPr>
          <w:rFonts w:ascii="Calibri" w:eastAsia="Calibri" w:hAnsi="Calibri" w:cs="Calibri"/>
          <w:lang w:eastAsia="en-US"/>
        </w:rPr>
        <w:t>.</w:t>
      </w:r>
      <w:r w:rsidRPr="00D778BC">
        <w:rPr>
          <w:rFonts w:ascii="Calibri" w:eastAsia="Calibri" w:hAnsi="Calibri" w:cs="Calibri"/>
          <w:lang w:eastAsia="en-US"/>
        </w:rPr>
        <w:t xml:space="preserve"> </w:t>
      </w:r>
    </w:p>
    <w:p w:rsidR="00BC0F2D" w:rsidRPr="00D778BC" w:rsidRDefault="00BC0F2D" w:rsidP="00BC0F2D">
      <w:pPr>
        <w:spacing w:before="120" w:after="0" w:line="240" w:lineRule="auto"/>
        <w:jc w:val="both"/>
        <w:rPr>
          <w:rFonts w:ascii="Calibri" w:eastAsia="Calibri" w:hAnsi="Calibri" w:cs="Calibri"/>
          <w:lang w:eastAsia="en-US"/>
        </w:rPr>
      </w:pPr>
      <w:r w:rsidRPr="00D778BC">
        <w:rPr>
          <w:rFonts w:ascii="Calibri" w:eastAsia="Calibri" w:hAnsi="Calibri" w:cs="Calibri"/>
          <w:lang w:eastAsia="en-US"/>
        </w:rPr>
        <w:t>The value of the Unpaid Work of Older People could rise from around $11 billion per year at present to around $21 billion per year i</w:t>
      </w:r>
      <w:r w:rsidR="00BE6AE4" w:rsidRPr="00D778BC">
        <w:rPr>
          <w:rFonts w:ascii="Calibri" w:eastAsia="Calibri" w:hAnsi="Calibri" w:cs="Calibri"/>
          <w:lang w:eastAsia="en-US"/>
        </w:rPr>
        <w:t>n 2031, $29.3 billion in 204</w:t>
      </w:r>
      <w:r w:rsidRPr="00D778BC">
        <w:rPr>
          <w:rFonts w:ascii="Calibri" w:eastAsia="Calibri" w:hAnsi="Calibri" w:cs="Calibri"/>
          <w:lang w:eastAsia="en-US"/>
        </w:rPr>
        <w:t>1 and $47.5 billion in 2061, assuming a proxy value of $16.50 [the ‘Carer Wage’ adjusted for inflation 2014-2016].</w:t>
      </w:r>
    </w:p>
    <w:p w:rsidR="000E202B" w:rsidRPr="00D778BC" w:rsidRDefault="00BC0F2D" w:rsidP="000E202B">
      <w:pPr>
        <w:spacing w:before="120" w:after="0" w:line="240" w:lineRule="auto"/>
        <w:jc w:val="both"/>
        <w:rPr>
          <w:rFonts w:ascii="Calibri" w:eastAsia="Calibri" w:hAnsi="Calibri" w:cs="Calibri"/>
          <w:lang w:eastAsia="en-US"/>
        </w:rPr>
      </w:pPr>
      <w:r w:rsidRPr="00D778BC">
        <w:rPr>
          <w:rFonts w:ascii="Calibri" w:eastAsia="Calibri" w:hAnsi="Calibri" w:cs="Calibri"/>
          <w:lang w:eastAsia="en-US"/>
        </w:rPr>
        <w:t>The total value of expenditures by Older People [inclusive of GST] is proj</w:t>
      </w:r>
      <w:r w:rsidR="00D778BC" w:rsidRPr="00D778BC">
        <w:rPr>
          <w:rFonts w:ascii="Calibri" w:eastAsia="Calibri" w:hAnsi="Calibri" w:cs="Calibri"/>
          <w:lang w:eastAsia="en-US"/>
        </w:rPr>
        <w:t>ected to rise from around $20.7</w:t>
      </w:r>
      <w:r w:rsidR="00BE6AE4" w:rsidRPr="00D778BC">
        <w:rPr>
          <w:rFonts w:ascii="Calibri" w:eastAsia="Calibri" w:hAnsi="Calibri" w:cs="Calibri"/>
          <w:lang w:eastAsia="en-US"/>
        </w:rPr>
        <w:t xml:space="preserve"> </w:t>
      </w:r>
      <w:r w:rsidRPr="00D778BC">
        <w:rPr>
          <w:rFonts w:ascii="Calibri" w:eastAsia="Calibri" w:hAnsi="Calibri" w:cs="Calibri"/>
          <w:lang w:eastAsia="en-US"/>
        </w:rPr>
        <w:t>billion pe</w:t>
      </w:r>
      <w:r w:rsidR="00BE6AE4" w:rsidRPr="00D778BC">
        <w:rPr>
          <w:rFonts w:ascii="Calibri" w:eastAsia="Calibri" w:hAnsi="Calibri" w:cs="Calibri"/>
          <w:lang w:eastAsia="en-US"/>
        </w:rPr>
        <w:t>r year in 2016 to around $42.4</w:t>
      </w:r>
      <w:r w:rsidR="00D778BC" w:rsidRPr="00D778BC">
        <w:rPr>
          <w:rFonts w:ascii="Calibri" w:eastAsia="Calibri" w:hAnsi="Calibri" w:cs="Calibri"/>
          <w:lang w:eastAsia="en-US"/>
        </w:rPr>
        <w:t xml:space="preserve"> billion in 2031, $57.4</w:t>
      </w:r>
      <w:r w:rsidR="00DF1BDB" w:rsidRPr="00D778BC">
        <w:rPr>
          <w:rFonts w:ascii="Calibri" w:eastAsia="Calibri" w:hAnsi="Calibri" w:cs="Calibri"/>
          <w:lang w:eastAsia="en-US"/>
        </w:rPr>
        <w:t xml:space="preserve"> billion in 2041 and $94</w:t>
      </w:r>
      <w:r w:rsidRPr="00D778BC">
        <w:rPr>
          <w:rFonts w:ascii="Calibri" w:eastAsia="Calibri" w:hAnsi="Calibri" w:cs="Calibri"/>
          <w:lang w:eastAsia="en-US"/>
        </w:rPr>
        <w:t xml:space="preserve"> Bill</w:t>
      </w:r>
      <w:r w:rsidR="00950ACA">
        <w:rPr>
          <w:rFonts w:ascii="Calibri" w:eastAsia="Calibri" w:hAnsi="Calibri" w:cs="Calibri"/>
          <w:lang w:eastAsia="en-US"/>
        </w:rPr>
        <w:t>ion per year in 2061. On current</w:t>
      </w:r>
      <w:r w:rsidRPr="00D778BC">
        <w:rPr>
          <w:rFonts w:ascii="Calibri" w:eastAsia="Calibri" w:hAnsi="Calibri" w:cs="Calibri"/>
          <w:lang w:eastAsia="en-US"/>
        </w:rPr>
        <w:t xml:space="preserve"> </w:t>
      </w:r>
      <w:r w:rsidR="00950ACA">
        <w:rPr>
          <w:rFonts w:ascii="Calibri" w:eastAsia="Calibri" w:hAnsi="Calibri" w:cs="Calibri"/>
          <w:lang w:eastAsia="en-US"/>
        </w:rPr>
        <w:t>patterns of expenditure, some 28</w:t>
      </w:r>
      <w:r w:rsidRPr="00D778BC">
        <w:rPr>
          <w:rFonts w:ascii="Calibri" w:eastAsia="Calibri" w:hAnsi="Calibri" w:cs="Calibri"/>
          <w:lang w:eastAsia="en-US"/>
        </w:rPr>
        <w:t xml:space="preserve"> percent of these sums are expected to be spent on Foodstuffs, Alcoholic Drinks and Tobacco and Clothing and Footwear, and a further 22 percent is expected to be spent on Housing and Housing related items. Health (11%), Transport (13%) </w:t>
      </w:r>
      <w:r w:rsidR="00950ACA">
        <w:rPr>
          <w:rFonts w:ascii="Calibri" w:eastAsia="Calibri" w:hAnsi="Calibri" w:cs="Calibri"/>
          <w:lang w:eastAsia="en-US"/>
        </w:rPr>
        <w:t>and R</w:t>
      </w:r>
      <w:r w:rsidR="000E202B" w:rsidRPr="00D778BC">
        <w:rPr>
          <w:rFonts w:ascii="Calibri" w:eastAsia="Calibri" w:hAnsi="Calibri" w:cs="Calibri"/>
          <w:lang w:eastAsia="en-US"/>
        </w:rPr>
        <w:t xml:space="preserve">ecreation and Culture (11%) constitute other important market segments. </w:t>
      </w:r>
    </w:p>
    <w:p w:rsidR="000E202B" w:rsidRPr="00D778BC" w:rsidRDefault="000E202B" w:rsidP="000E202B">
      <w:pPr>
        <w:rPr>
          <w:rFonts w:ascii="Calibri" w:eastAsia="Calibri" w:hAnsi="Calibri" w:cs="Calibri"/>
          <w:lang w:eastAsia="en-US"/>
        </w:rPr>
      </w:pPr>
    </w:p>
    <w:p w:rsidR="006F4118" w:rsidRDefault="000E202B" w:rsidP="00765104">
      <w:pPr>
        <w:rPr>
          <w:rFonts w:ascii="Calibri" w:eastAsia="Calibri" w:hAnsi="Calibri" w:cs="Calibri"/>
          <w:lang w:eastAsia="en-US"/>
        </w:rPr>
        <w:sectPr w:rsidR="006F4118" w:rsidSect="00C452DD">
          <w:footerReference w:type="default" r:id="rId9"/>
          <w:pgSz w:w="11906" w:h="16838"/>
          <w:pgMar w:top="1440" w:right="1440" w:bottom="1440" w:left="1440" w:header="708" w:footer="708" w:gutter="0"/>
          <w:cols w:space="708"/>
          <w:docGrid w:linePitch="360"/>
        </w:sectPr>
      </w:pPr>
      <w:r>
        <w:rPr>
          <w:rFonts w:ascii="Calibri" w:eastAsia="Calibri" w:hAnsi="Calibri" w:cs="Calibri"/>
          <w:lang w:eastAsia="en-US"/>
        </w:rPr>
        <w:br w:type="page"/>
      </w:r>
    </w:p>
    <w:p w:rsidR="006F4118" w:rsidRDefault="006F4118" w:rsidP="006F4118">
      <w:r>
        <w:lastRenderedPageBreak/>
        <w:t>Table 1</w:t>
      </w:r>
    </w:p>
    <w:p w:rsidR="008702A4" w:rsidRDefault="008702A4" w:rsidP="006F4118">
      <w:r w:rsidRPr="008702A4">
        <w:rPr>
          <w:noProof/>
          <w:lang w:eastAsia="en-NZ"/>
        </w:rPr>
        <w:drawing>
          <wp:inline distT="0" distB="0" distL="0" distR="0">
            <wp:extent cx="8863330" cy="4777037"/>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63330" cy="4777037"/>
                    </a:xfrm>
                    <a:prstGeom prst="rect">
                      <a:avLst/>
                    </a:prstGeom>
                    <a:noFill/>
                    <a:ln>
                      <a:noFill/>
                    </a:ln>
                  </pic:spPr>
                </pic:pic>
              </a:graphicData>
            </a:graphic>
          </wp:inline>
        </w:drawing>
      </w:r>
    </w:p>
    <w:p w:rsidR="006F4118" w:rsidRDefault="006F4118" w:rsidP="00BC0F2D">
      <w:pPr>
        <w:spacing w:before="120" w:after="0" w:line="240" w:lineRule="auto"/>
        <w:jc w:val="both"/>
        <w:rPr>
          <w:rFonts w:ascii="Calibri" w:eastAsia="Calibri" w:hAnsi="Calibri" w:cs="Calibri"/>
          <w:lang w:eastAsia="en-US"/>
        </w:rPr>
      </w:pPr>
    </w:p>
    <w:p w:rsidR="001034CF" w:rsidRDefault="001034CF">
      <w:pPr>
        <w:rPr>
          <w:rFonts w:ascii="Calibri" w:eastAsia="Calibri" w:hAnsi="Calibri" w:cs="Calibri"/>
          <w:b/>
          <w:sz w:val="24"/>
          <w:szCs w:val="24"/>
          <w:lang w:eastAsia="en-US"/>
        </w:rPr>
      </w:pPr>
      <w:r>
        <w:rPr>
          <w:rFonts w:ascii="Calibri" w:eastAsia="Calibri" w:hAnsi="Calibri" w:cs="Calibri"/>
          <w:b/>
          <w:sz w:val="24"/>
          <w:szCs w:val="24"/>
          <w:lang w:eastAsia="en-US"/>
        </w:rPr>
        <w:br w:type="page"/>
      </w:r>
    </w:p>
    <w:p w:rsidR="006F4118" w:rsidRDefault="006F4118">
      <w:pPr>
        <w:rPr>
          <w:rFonts w:ascii="Calibri" w:eastAsia="Calibri" w:hAnsi="Calibri" w:cs="Calibri"/>
          <w:b/>
          <w:sz w:val="24"/>
          <w:szCs w:val="24"/>
          <w:lang w:eastAsia="en-US"/>
        </w:rPr>
        <w:sectPr w:rsidR="006F4118" w:rsidSect="006F4118">
          <w:pgSz w:w="16838" w:h="11906" w:orient="landscape"/>
          <w:pgMar w:top="1440" w:right="1440" w:bottom="1440" w:left="1440" w:header="708" w:footer="708" w:gutter="0"/>
          <w:cols w:space="708"/>
          <w:docGrid w:linePitch="360"/>
        </w:sectPr>
      </w:pPr>
    </w:p>
    <w:p w:rsidR="006F4118" w:rsidRDefault="006F4118">
      <w:pPr>
        <w:rPr>
          <w:rFonts w:ascii="Calibri" w:eastAsia="Calibri" w:hAnsi="Calibri" w:cs="Calibri"/>
          <w:b/>
          <w:sz w:val="24"/>
          <w:szCs w:val="24"/>
          <w:lang w:eastAsia="en-US"/>
        </w:rPr>
      </w:pPr>
    </w:p>
    <w:p w:rsidR="00FC7DA9" w:rsidRDefault="001E0DDA" w:rsidP="005F3D36">
      <w:pPr>
        <w:spacing w:before="120" w:after="0" w:line="240" w:lineRule="auto"/>
        <w:jc w:val="both"/>
        <w:rPr>
          <w:rFonts w:ascii="Calibri" w:eastAsia="Calibri" w:hAnsi="Calibri" w:cs="Calibri"/>
          <w:b/>
          <w:sz w:val="24"/>
          <w:szCs w:val="24"/>
          <w:lang w:eastAsia="en-US"/>
        </w:rPr>
      </w:pPr>
      <w:r>
        <w:rPr>
          <w:rFonts w:ascii="Calibri" w:eastAsia="Calibri" w:hAnsi="Calibri" w:cs="Calibri"/>
          <w:b/>
          <w:sz w:val="24"/>
          <w:szCs w:val="24"/>
          <w:lang w:eastAsia="en-US"/>
        </w:rPr>
        <w:t>APPENDIX</w:t>
      </w:r>
      <w:r w:rsidR="006F4118">
        <w:rPr>
          <w:rFonts w:ascii="Calibri" w:eastAsia="Calibri" w:hAnsi="Calibri" w:cs="Calibri"/>
          <w:b/>
          <w:sz w:val="24"/>
          <w:szCs w:val="24"/>
          <w:lang w:eastAsia="en-US"/>
        </w:rPr>
        <w:t>: TECHNI</w:t>
      </w:r>
      <w:r w:rsidR="001034CF">
        <w:rPr>
          <w:rFonts w:ascii="Calibri" w:eastAsia="Calibri" w:hAnsi="Calibri" w:cs="Calibri"/>
          <w:b/>
          <w:sz w:val="24"/>
          <w:szCs w:val="24"/>
          <w:lang w:eastAsia="en-US"/>
        </w:rPr>
        <w:t>CAL ISSUES</w:t>
      </w:r>
    </w:p>
    <w:p w:rsidR="005F3D36" w:rsidRDefault="005F3D36" w:rsidP="005F3D36">
      <w:pPr>
        <w:spacing w:before="120" w:after="0" w:line="240" w:lineRule="auto"/>
        <w:jc w:val="both"/>
        <w:rPr>
          <w:rFonts w:ascii="Calibri" w:eastAsia="Calibri" w:hAnsi="Calibri" w:cs="Calibri"/>
          <w:b/>
          <w:sz w:val="24"/>
          <w:szCs w:val="24"/>
          <w:lang w:eastAsia="en-US"/>
        </w:rPr>
      </w:pPr>
      <w:r>
        <w:rPr>
          <w:rFonts w:ascii="Calibri" w:eastAsia="Calibri" w:hAnsi="Calibri" w:cs="Calibri"/>
          <w:b/>
          <w:sz w:val="24"/>
          <w:szCs w:val="24"/>
          <w:lang w:eastAsia="en-US"/>
        </w:rPr>
        <w:t>Participatio</w:t>
      </w:r>
      <w:r w:rsidR="00FC7DA9">
        <w:rPr>
          <w:rFonts w:ascii="Calibri" w:eastAsia="Calibri" w:hAnsi="Calibri" w:cs="Calibri"/>
          <w:b/>
          <w:sz w:val="24"/>
          <w:szCs w:val="24"/>
          <w:lang w:eastAsia="en-US"/>
        </w:rPr>
        <w:t>n Rate Projection Probabilities</w:t>
      </w:r>
    </w:p>
    <w:p w:rsidR="00FC292E" w:rsidRDefault="00FC7DA9" w:rsidP="00073762">
      <w:pPr>
        <w:spacing w:before="120" w:after="0" w:line="240" w:lineRule="auto"/>
        <w:jc w:val="both"/>
        <w:rPr>
          <w:rFonts w:ascii="Calibri" w:eastAsia="Calibri" w:hAnsi="Calibri" w:cs="Calibri"/>
          <w:lang w:eastAsia="en-US"/>
        </w:rPr>
      </w:pPr>
      <w:r w:rsidRPr="00073762">
        <w:rPr>
          <w:rFonts w:ascii="Calibri" w:eastAsia="Calibri" w:hAnsi="Calibri" w:cs="Calibri"/>
          <w:lang w:eastAsia="en-US"/>
        </w:rPr>
        <w:t>The first draft of this report raised the iss</w:t>
      </w:r>
      <w:r w:rsidR="00073762">
        <w:rPr>
          <w:rFonts w:ascii="Calibri" w:eastAsia="Calibri" w:hAnsi="Calibri" w:cs="Calibri"/>
          <w:lang w:eastAsia="en-US"/>
        </w:rPr>
        <w:t>ue that the most recent Median P</w:t>
      </w:r>
      <w:r w:rsidRPr="00073762">
        <w:rPr>
          <w:rFonts w:ascii="Calibri" w:eastAsia="Calibri" w:hAnsi="Calibri" w:cs="Calibri"/>
          <w:lang w:eastAsia="en-US"/>
        </w:rPr>
        <w:t>rojectio</w:t>
      </w:r>
      <w:r w:rsidR="00073762" w:rsidRPr="00073762">
        <w:rPr>
          <w:rFonts w:ascii="Calibri" w:eastAsia="Calibri" w:hAnsi="Calibri" w:cs="Calibri"/>
          <w:lang w:eastAsia="en-US"/>
        </w:rPr>
        <w:t>n Participation Rates for Older</w:t>
      </w:r>
      <w:r w:rsidR="006F4118">
        <w:rPr>
          <w:rFonts w:ascii="Calibri" w:eastAsia="Calibri" w:hAnsi="Calibri" w:cs="Calibri"/>
          <w:lang w:eastAsia="en-US"/>
        </w:rPr>
        <w:t xml:space="preserve"> New Zealanders appear to be somewhat</w:t>
      </w:r>
      <w:r w:rsidRPr="00073762">
        <w:rPr>
          <w:rFonts w:ascii="Calibri" w:eastAsia="Calibri" w:hAnsi="Calibri" w:cs="Calibri"/>
          <w:lang w:eastAsia="en-US"/>
        </w:rPr>
        <w:t xml:space="preserve"> </w:t>
      </w:r>
      <w:r w:rsidR="00073762" w:rsidRPr="00073762">
        <w:rPr>
          <w:rFonts w:ascii="Calibri" w:eastAsia="Calibri" w:hAnsi="Calibri" w:cs="Calibri"/>
          <w:lang w:eastAsia="en-US"/>
        </w:rPr>
        <w:t xml:space="preserve">lower than those </w:t>
      </w:r>
      <w:r w:rsidRPr="00073762">
        <w:rPr>
          <w:rFonts w:ascii="Calibri" w:eastAsia="Calibri" w:hAnsi="Calibri" w:cs="Calibri"/>
          <w:lang w:eastAsia="en-US"/>
        </w:rPr>
        <w:t>previously cal</w:t>
      </w:r>
      <w:r w:rsidR="00073762" w:rsidRPr="00073762">
        <w:rPr>
          <w:rFonts w:ascii="Calibri" w:eastAsia="Calibri" w:hAnsi="Calibri" w:cs="Calibri"/>
          <w:lang w:eastAsia="en-US"/>
        </w:rPr>
        <w:t xml:space="preserve">culated from LTFM and Stats NZ </w:t>
      </w:r>
      <w:r w:rsidRPr="00073762">
        <w:rPr>
          <w:rFonts w:ascii="Calibri" w:eastAsia="Calibri" w:hAnsi="Calibri" w:cs="Calibri"/>
          <w:lang w:eastAsia="en-US"/>
        </w:rPr>
        <w:t>for earl</w:t>
      </w:r>
      <w:r w:rsidR="00073762" w:rsidRPr="00073762">
        <w:rPr>
          <w:rFonts w:ascii="Calibri" w:eastAsia="Calibri" w:hAnsi="Calibri" w:cs="Calibri"/>
          <w:lang w:eastAsia="en-US"/>
        </w:rPr>
        <w:t>ier updates [see Tables 4 and 5</w:t>
      </w:r>
      <w:r w:rsidRPr="00073762">
        <w:rPr>
          <w:rFonts w:ascii="Calibri" w:eastAsia="Calibri" w:hAnsi="Calibri" w:cs="Calibri"/>
          <w:lang w:eastAsia="en-US"/>
        </w:rPr>
        <w:t>].</w:t>
      </w:r>
    </w:p>
    <w:p w:rsidR="00073762" w:rsidRPr="00073762" w:rsidRDefault="00073762" w:rsidP="00073762">
      <w:pPr>
        <w:spacing w:before="120" w:after="0" w:line="240" w:lineRule="auto"/>
        <w:jc w:val="both"/>
        <w:rPr>
          <w:rFonts w:ascii="Calibri" w:eastAsia="Calibri" w:hAnsi="Calibri" w:cs="Calibri"/>
          <w:lang w:eastAsia="en-US"/>
        </w:rPr>
      </w:pPr>
      <w:proofErr w:type="spellStart"/>
      <w:r>
        <w:rPr>
          <w:rFonts w:ascii="Calibri" w:eastAsia="Calibri" w:hAnsi="Calibri" w:cs="Calibri"/>
          <w:lang w:eastAsia="en-US"/>
        </w:rPr>
        <w:t>StatsNZ</w:t>
      </w:r>
      <w:proofErr w:type="spellEnd"/>
      <w:r>
        <w:rPr>
          <w:rFonts w:ascii="Calibri" w:eastAsia="Calibri" w:hAnsi="Calibri" w:cs="Calibri"/>
          <w:lang w:eastAsia="en-US"/>
        </w:rPr>
        <w:t xml:space="preserve"> advised as follows:</w:t>
      </w:r>
    </w:p>
    <w:p w:rsidR="00073762" w:rsidRPr="00073762" w:rsidRDefault="00073762" w:rsidP="00073762">
      <w:pPr>
        <w:spacing w:before="120" w:after="0" w:line="240" w:lineRule="auto"/>
        <w:jc w:val="both"/>
        <w:rPr>
          <w:rFonts w:ascii="Calibri" w:eastAsia="Calibri" w:hAnsi="Calibri" w:cs="Calibri"/>
          <w:i/>
          <w:lang w:eastAsia="en-US"/>
        </w:rPr>
      </w:pPr>
      <w:r w:rsidRPr="00073762">
        <w:rPr>
          <w:rFonts w:ascii="Calibri" w:eastAsia="Calibri" w:hAnsi="Calibri" w:cs="Calibri"/>
          <w:i/>
          <w:lang w:eastAsia="en-US"/>
        </w:rPr>
        <w:t xml:space="preserve">Our Labour Force Participation Rate [LFPR] assumptions are based on observed age-and-sex-specific trends from two key data sources: Census of Population and Dwellings; and the Household Labour Force Survey. </w:t>
      </w:r>
    </w:p>
    <w:p w:rsidR="00073762" w:rsidRPr="00073762" w:rsidRDefault="00073762" w:rsidP="00073762">
      <w:pPr>
        <w:spacing w:before="120" w:after="0" w:line="240" w:lineRule="auto"/>
        <w:jc w:val="both"/>
        <w:rPr>
          <w:rFonts w:ascii="Calibri" w:eastAsia="Calibri" w:hAnsi="Calibri" w:cs="Calibri"/>
          <w:i/>
          <w:lang w:eastAsia="en-US"/>
        </w:rPr>
      </w:pPr>
      <w:r w:rsidRPr="00073762">
        <w:rPr>
          <w:rFonts w:ascii="Calibri" w:eastAsia="Calibri" w:hAnsi="Calibri" w:cs="Calibri"/>
          <w:i/>
          <w:lang w:eastAsia="en-US"/>
        </w:rPr>
        <w:t>Between mid-2012 and late 2015, LFPRs for men and women in the 65-69 and 70-74 age groups did not exhibit the same increases as observed in the previous 10-15 years. This prompted a lowering of LFPR assumptions through those ages in the more recent LF projections.</w:t>
      </w:r>
    </w:p>
    <w:p w:rsidR="00073762" w:rsidRPr="00073762" w:rsidRDefault="00073762" w:rsidP="00073762">
      <w:pPr>
        <w:spacing w:before="120" w:after="0" w:line="240" w:lineRule="auto"/>
        <w:jc w:val="both"/>
        <w:rPr>
          <w:rFonts w:ascii="Calibri" w:eastAsia="Calibri" w:hAnsi="Calibri" w:cs="Calibri"/>
          <w:i/>
          <w:lang w:eastAsia="en-US"/>
        </w:rPr>
      </w:pPr>
      <w:r w:rsidRPr="00073762">
        <w:rPr>
          <w:rFonts w:ascii="Calibri" w:eastAsia="Calibri" w:hAnsi="Calibri" w:cs="Calibri"/>
          <w:i/>
          <w:lang w:eastAsia="en-US"/>
        </w:rPr>
        <w:t>Partly related, the decline in LFPRs with age, beyond age 65, is assumed to be steeper/quicker in the more recent projections. That is more consistent with the current age profile in LFPRs.</w:t>
      </w:r>
    </w:p>
    <w:p w:rsidR="00073762" w:rsidRPr="00073762" w:rsidRDefault="00073762" w:rsidP="00073762">
      <w:pPr>
        <w:spacing w:before="120" w:after="0" w:line="240" w:lineRule="auto"/>
        <w:jc w:val="both"/>
        <w:rPr>
          <w:rFonts w:ascii="Calibri" w:eastAsia="Calibri" w:hAnsi="Calibri" w:cs="Calibri"/>
          <w:i/>
          <w:lang w:eastAsia="en-US"/>
        </w:rPr>
      </w:pPr>
      <w:r w:rsidRPr="00073762">
        <w:rPr>
          <w:rFonts w:ascii="Calibri" w:eastAsia="Calibri" w:hAnsi="Calibri" w:cs="Calibri"/>
          <w:i/>
          <w:lang w:eastAsia="en-US"/>
        </w:rPr>
        <w:t xml:space="preserve">The latest LFPR assumptions for the 65+ age </w:t>
      </w:r>
      <w:proofErr w:type="gramStart"/>
      <w:r w:rsidRPr="00073762">
        <w:rPr>
          <w:rFonts w:ascii="Calibri" w:eastAsia="Calibri" w:hAnsi="Calibri" w:cs="Calibri"/>
          <w:i/>
          <w:lang w:eastAsia="en-US"/>
        </w:rPr>
        <w:t>group,</w:t>
      </w:r>
      <w:proofErr w:type="gramEnd"/>
      <w:r w:rsidRPr="00073762">
        <w:rPr>
          <w:rFonts w:ascii="Calibri" w:eastAsia="Calibri" w:hAnsi="Calibri" w:cs="Calibri"/>
          <w:i/>
          <w:lang w:eastAsia="en-US"/>
        </w:rPr>
        <w:t xml:space="preserve"> have the median rising from 22% in 2013-14 to 27% in the late 2020s, before it eases to 25% in the 2060s. Note that the assumptions are actually derived by single year of age. This apparent easing of the broad 65+ age group reflects changes in age composition within that broad age group, as the median SYOA LFPRs do not decline at any ages within that 65+ group.</w:t>
      </w:r>
    </w:p>
    <w:p w:rsidR="00073762" w:rsidRPr="00073762" w:rsidRDefault="00073762" w:rsidP="00073762">
      <w:pPr>
        <w:spacing w:before="120" w:after="0" w:line="240" w:lineRule="auto"/>
        <w:jc w:val="both"/>
        <w:rPr>
          <w:rFonts w:ascii="Calibri" w:eastAsia="Calibri" w:hAnsi="Calibri" w:cs="Calibri"/>
          <w:i/>
          <w:lang w:eastAsia="en-US"/>
        </w:rPr>
      </w:pPr>
      <w:r w:rsidRPr="00073762">
        <w:rPr>
          <w:rFonts w:ascii="Calibri" w:eastAsia="Calibri" w:hAnsi="Calibri" w:cs="Calibri"/>
          <w:i/>
          <w:lang w:eastAsia="en-US"/>
        </w:rPr>
        <w:t>The 5th and 95th percentiles for the 65+ LFPR by the 2060s are 16% and 33%, respectively. That is, there is an estimated 90% chance that the 65+ LFPR will be between 16% and 33% in the 2060s.</w:t>
      </w:r>
    </w:p>
    <w:p w:rsidR="00073762" w:rsidRPr="00073762" w:rsidRDefault="00073762" w:rsidP="00073762">
      <w:pPr>
        <w:spacing w:before="120" w:after="0" w:line="240" w:lineRule="auto"/>
        <w:jc w:val="both"/>
        <w:rPr>
          <w:rFonts w:ascii="Calibri" w:eastAsia="Calibri" w:hAnsi="Calibri" w:cs="Calibri"/>
          <w:i/>
          <w:lang w:eastAsia="en-US"/>
        </w:rPr>
      </w:pPr>
      <w:r w:rsidRPr="00073762">
        <w:rPr>
          <w:rFonts w:ascii="Calibri" w:eastAsia="Calibri" w:hAnsi="Calibri" w:cs="Calibri"/>
          <w:i/>
          <w:lang w:eastAsia="en-US"/>
        </w:rPr>
        <w:t>Among the prime LF ages, 20-59 years, LFPRs are much more stable historically. Hence, the assumptions have changed relatively little from one set of LF projections to the next. Some small increases for females are assumed reflecting recent trends and assumed further small declines in fertility rates.</w:t>
      </w:r>
    </w:p>
    <w:p w:rsidR="00073762" w:rsidRPr="00073762" w:rsidRDefault="00073762" w:rsidP="00073762">
      <w:pPr>
        <w:spacing w:before="120" w:after="0" w:line="240" w:lineRule="auto"/>
        <w:jc w:val="both"/>
        <w:rPr>
          <w:rFonts w:ascii="Calibri" w:eastAsia="Calibri" w:hAnsi="Calibri" w:cs="Calibri"/>
          <w:i/>
          <w:lang w:eastAsia="en-US"/>
        </w:rPr>
      </w:pPr>
      <w:r w:rsidRPr="00073762">
        <w:rPr>
          <w:rFonts w:ascii="Calibri" w:eastAsia="Calibri" w:hAnsi="Calibri" w:cs="Calibri"/>
          <w:i/>
          <w:lang w:eastAsia="en-US"/>
        </w:rPr>
        <w:t>At the youngest ages, LFPRs are assumed to decrease slightly, reflecting recent trends and increasing participation in tertiary education.</w:t>
      </w:r>
    </w:p>
    <w:p w:rsidR="00073762" w:rsidRPr="00073762" w:rsidRDefault="00073762" w:rsidP="00073762">
      <w:pPr>
        <w:spacing w:before="120" w:after="0" w:line="240" w:lineRule="auto"/>
        <w:jc w:val="both"/>
        <w:rPr>
          <w:rFonts w:ascii="Calibri" w:eastAsia="Calibri" w:hAnsi="Calibri" w:cs="Calibri"/>
          <w:i/>
          <w:lang w:eastAsia="en-US"/>
        </w:rPr>
      </w:pPr>
      <w:r w:rsidRPr="00073762">
        <w:rPr>
          <w:rFonts w:ascii="Calibri" w:eastAsia="Calibri" w:hAnsi="Calibri" w:cs="Calibri"/>
          <w:i/>
          <w:lang w:eastAsia="en-US"/>
        </w:rPr>
        <w:t>…</w:t>
      </w:r>
    </w:p>
    <w:p w:rsidR="008B350B" w:rsidRPr="008B350B" w:rsidRDefault="00073762" w:rsidP="008B350B">
      <w:pPr>
        <w:spacing w:before="120" w:after="0" w:line="240" w:lineRule="auto"/>
        <w:jc w:val="both"/>
        <w:rPr>
          <w:rFonts w:ascii="Calibri" w:eastAsia="Calibri" w:hAnsi="Calibri" w:cs="Calibri"/>
          <w:b/>
          <w:lang w:eastAsia="en-US"/>
        </w:rPr>
      </w:pPr>
      <w:r w:rsidRPr="00073762">
        <w:rPr>
          <w:rFonts w:ascii="Calibri" w:eastAsia="Calibri" w:hAnsi="Calibri" w:cs="Calibri"/>
          <w:i/>
          <w:lang w:eastAsia="en-US"/>
        </w:rPr>
        <w:t>We can provide LFPR percentiles (including the median) for any age-sex grouping. We haven’t looked at the HLFS trend data since 2015 – we’ll be doing this later this year to derive the updated LF projections.</w:t>
      </w:r>
    </w:p>
    <w:p w:rsidR="00293304" w:rsidRPr="00293304" w:rsidRDefault="008B350B" w:rsidP="00293304">
      <w:pPr>
        <w:spacing w:before="120" w:after="0" w:line="240" w:lineRule="auto"/>
        <w:jc w:val="both"/>
        <w:rPr>
          <w:rFonts w:ascii="Calibri" w:eastAsia="Calibri" w:hAnsi="Calibri" w:cs="Calibri"/>
          <w:lang w:eastAsia="en-US"/>
        </w:rPr>
      </w:pPr>
      <w:r>
        <w:t xml:space="preserve">The special tabulations generated by </w:t>
      </w:r>
      <w:proofErr w:type="spellStart"/>
      <w:r>
        <w:t>StatsNZ</w:t>
      </w:r>
      <w:proofErr w:type="spellEnd"/>
      <w:r>
        <w:t xml:space="preserve"> are summarized in Tables 6, 7 and 8.</w:t>
      </w:r>
      <w:r w:rsidR="00293304">
        <w:t xml:space="preserve"> </w:t>
      </w:r>
      <w:r w:rsidR="00293304" w:rsidRPr="00293304">
        <w:rPr>
          <w:rFonts w:ascii="Calibri" w:eastAsia="Calibri" w:hAnsi="Calibri" w:cs="Calibri"/>
          <w:lang w:eastAsia="en-US"/>
        </w:rPr>
        <w:t>Th</w:t>
      </w:r>
      <w:r w:rsidR="00293304">
        <w:rPr>
          <w:rFonts w:ascii="Calibri" w:eastAsia="Calibri" w:hAnsi="Calibri" w:cs="Calibri"/>
          <w:lang w:eastAsia="en-US"/>
        </w:rPr>
        <w:t>ese illustrate that</w:t>
      </w:r>
      <w:r w:rsidR="00293304" w:rsidRPr="00293304">
        <w:rPr>
          <w:rFonts w:ascii="Calibri" w:eastAsia="Calibri" w:hAnsi="Calibri" w:cs="Calibri"/>
          <w:lang w:eastAsia="en-US"/>
        </w:rPr>
        <w:t xml:space="preserve"> considerable uncertainty surround</w:t>
      </w:r>
      <w:r w:rsidR="00293304">
        <w:rPr>
          <w:rFonts w:ascii="Calibri" w:eastAsia="Calibri" w:hAnsi="Calibri" w:cs="Calibri"/>
          <w:lang w:eastAsia="en-US"/>
        </w:rPr>
        <w:t>s</w:t>
      </w:r>
      <w:r w:rsidR="00293304" w:rsidRPr="00293304">
        <w:rPr>
          <w:rFonts w:ascii="Calibri" w:eastAsia="Calibri" w:hAnsi="Calibri" w:cs="Calibri"/>
          <w:lang w:eastAsia="en-US"/>
        </w:rPr>
        <w:t xml:space="preserve"> the projections and </w:t>
      </w:r>
      <w:r w:rsidR="00293304">
        <w:rPr>
          <w:rFonts w:ascii="Calibri" w:eastAsia="Calibri" w:hAnsi="Calibri" w:cs="Calibri"/>
          <w:lang w:eastAsia="en-US"/>
        </w:rPr>
        <w:t xml:space="preserve">that the </w:t>
      </w:r>
      <w:r w:rsidR="00293304" w:rsidRPr="00293304">
        <w:rPr>
          <w:rFonts w:ascii="Calibri" w:eastAsia="Calibri" w:hAnsi="Calibri" w:cs="Calibri"/>
          <w:lang w:eastAsia="en-US"/>
        </w:rPr>
        <w:t xml:space="preserve">overall level of participation in the labour force by Older New Zealanders by 2061 could be as low as 16 percent </w:t>
      </w:r>
      <w:r w:rsidR="00293304">
        <w:rPr>
          <w:rFonts w:ascii="Calibri" w:eastAsia="Calibri" w:hAnsi="Calibri" w:cs="Calibri"/>
          <w:lang w:eastAsia="en-US"/>
        </w:rPr>
        <w:t>(</w:t>
      </w:r>
      <w:r w:rsidR="00293304" w:rsidRPr="00293304">
        <w:rPr>
          <w:rFonts w:ascii="Calibri" w:eastAsia="Calibri" w:hAnsi="Calibri" w:cs="Calibri"/>
          <w:lang w:eastAsia="en-US"/>
        </w:rPr>
        <w:t>5</w:t>
      </w:r>
      <w:r w:rsidR="00293304" w:rsidRPr="00293304">
        <w:rPr>
          <w:rFonts w:ascii="Calibri" w:eastAsia="Calibri" w:hAnsi="Calibri" w:cs="Calibri"/>
          <w:vertAlign w:val="superscript"/>
          <w:lang w:eastAsia="en-US"/>
        </w:rPr>
        <w:t>th</w:t>
      </w:r>
      <w:r w:rsidR="00293304" w:rsidRPr="00293304">
        <w:rPr>
          <w:rFonts w:ascii="Calibri" w:eastAsia="Calibri" w:hAnsi="Calibri" w:cs="Calibri"/>
          <w:lang w:eastAsia="en-US"/>
        </w:rPr>
        <w:t xml:space="preserve"> Percentile Estimate</w:t>
      </w:r>
      <w:r w:rsidR="00293304">
        <w:rPr>
          <w:rFonts w:ascii="Calibri" w:eastAsia="Calibri" w:hAnsi="Calibri" w:cs="Calibri"/>
          <w:lang w:eastAsia="en-US"/>
        </w:rPr>
        <w:t>)</w:t>
      </w:r>
      <w:r w:rsidR="00293304" w:rsidRPr="00293304">
        <w:rPr>
          <w:rFonts w:ascii="Calibri" w:eastAsia="Calibri" w:hAnsi="Calibri" w:cs="Calibri"/>
          <w:lang w:eastAsia="en-US"/>
        </w:rPr>
        <w:t xml:space="preserve"> and as high as 33 percent </w:t>
      </w:r>
      <w:r w:rsidR="00293304">
        <w:rPr>
          <w:rFonts w:ascii="Calibri" w:eastAsia="Calibri" w:hAnsi="Calibri" w:cs="Calibri"/>
          <w:lang w:eastAsia="en-US"/>
        </w:rPr>
        <w:t>(</w:t>
      </w:r>
      <w:r w:rsidR="00293304" w:rsidRPr="00293304">
        <w:rPr>
          <w:rFonts w:ascii="Calibri" w:eastAsia="Calibri" w:hAnsi="Calibri" w:cs="Calibri"/>
          <w:lang w:eastAsia="en-US"/>
        </w:rPr>
        <w:t>95</w:t>
      </w:r>
      <w:r w:rsidR="00293304" w:rsidRPr="00293304">
        <w:rPr>
          <w:rFonts w:ascii="Calibri" w:eastAsia="Calibri" w:hAnsi="Calibri" w:cs="Calibri"/>
          <w:vertAlign w:val="superscript"/>
          <w:lang w:eastAsia="en-US"/>
        </w:rPr>
        <w:t>th</w:t>
      </w:r>
      <w:r w:rsidR="00293304" w:rsidRPr="00293304">
        <w:rPr>
          <w:rFonts w:ascii="Calibri" w:eastAsia="Calibri" w:hAnsi="Calibri" w:cs="Calibri"/>
          <w:lang w:eastAsia="en-US"/>
        </w:rPr>
        <w:t xml:space="preserve"> Percentile Estimate</w:t>
      </w:r>
      <w:r w:rsidR="00293304">
        <w:rPr>
          <w:rFonts w:ascii="Calibri" w:eastAsia="Calibri" w:hAnsi="Calibri" w:cs="Calibri"/>
          <w:lang w:eastAsia="en-US"/>
        </w:rPr>
        <w:t>)</w:t>
      </w:r>
      <w:r w:rsidR="00293304" w:rsidRPr="00293304">
        <w:rPr>
          <w:rFonts w:ascii="Calibri" w:eastAsia="Calibri" w:hAnsi="Calibri" w:cs="Calibri"/>
          <w:lang w:eastAsia="en-US"/>
        </w:rPr>
        <w:t xml:space="preserve">.  </w:t>
      </w:r>
    </w:p>
    <w:p w:rsidR="008B350B" w:rsidRDefault="008B350B" w:rsidP="00FC7DA9">
      <w:pPr>
        <w:jc w:val="both"/>
        <w:sectPr w:rsidR="008B350B" w:rsidSect="00C452DD">
          <w:pgSz w:w="11906" w:h="16838"/>
          <w:pgMar w:top="1440" w:right="1440" w:bottom="1440" w:left="1440" w:header="708" w:footer="708" w:gutter="0"/>
          <w:cols w:space="708"/>
          <w:docGrid w:linePitch="360"/>
        </w:sectPr>
      </w:pPr>
    </w:p>
    <w:p w:rsidR="00914DF4" w:rsidRDefault="00914DF4" w:rsidP="004332CC"/>
    <w:p w:rsidR="00914DF4" w:rsidRDefault="00914DF4" w:rsidP="004332CC"/>
    <w:p w:rsidR="00FC292E" w:rsidRDefault="00E27DAE" w:rsidP="004332CC">
      <w:r>
        <w:t>Table 2</w:t>
      </w:r>
    </w:p>
    <w:p w:rsidR="00FC292E" w:rsidRDefault="00E27DAE" w:rsidP="004332CC">
      <w:r w:rsidRPr="00E27DAE">
        <w:rPr>
          <w:noProof/>
          <w:lang w:eastAsia="en-NZ"/>
        </w:rPr>
        <w:drawing>
          <wp:inline distT="0" distB="0" distL="0" distR="0">
            <wp:extent cx="8863330" cy="402291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63330" cy="4022919"/>
                    </a:xfrm>
                    <a:prstGeom prst="rect">
                      <a:avLst/>
                    </a:prstGeom>
                    <a:noFill/>
                    <a:ln>
                      <a:noFill/>
                    </a:ln>
                  </pic:spPr>
                </pic:pic>
              </a:graphicData>
            </a:graphic>
          </wp:inline>
        </w:drawing>
      </w:r>
    </w:p>
    <w:p w:rsidR="00FC292E" w:rsidRDefault="00FC292E" w:rsidP="004332CC"/>
    <w:p w:rsidR="00FC292E" w:rsidRDefault="00FC292E" w:rsidP="004332CC"/>
    <w:p w:rsidR="00FC292E" w:rsidRDefault="00FC292E" w:rsidP="004332CC"/>
    <w:p w:rsidR="00FC292E" w:rsidRDefault="00FC292E" w:rsidP="004332CC"/>
    <w:p w:rsidR="00FC292E" w:rsidRDefault="00E27DAE" w:rsidP="004332CC">
      <w:r>
        <w:t>Table 3</w:t>
      </w:r>
    </w:p>
    <w:p w:rsidR="00E27DAE" w:rsidRDefault="00E27DAE" w:rsidP="004332CC">
      <w:r w:rsidRPr="00E27DAE">
        <w:rPr>
          <w:noProof/>
          <w:lang w:eastAsia="en-NZ"/>
        </w:rPr>
        <w:drawing>
          <wp:inline distT="0" distB="0" distL="0" distR="0">
            <wp:extent cx="8863330" cy="402291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63330" cy="4022919"/>
                    </a:xfrm>
                    <a:prstGeom prst="rect">
                      <a:avLst/>
                    </a:prstGeom>
                    <a:noFill/>
                    <a:ln>
                      <a:noFill/>
                    </a:ln>
                  </pic:spPr>
                </pic:pic>
              </a:graphicData>
            </a:graphic>
          </wp:inline>
        </w:drawing>
      </w:r>
    </w:p>
    <w:p w:rsidR="00FC292E" w:rsidRDefault="00FC292E" w:rsidP="004332CC"/>
    <w:p w:rsidR="00FC292E" w:rsidRDefault="00FC292E" w:rsidP="004332CC"/>
    <w:p w:rsidR="00FC292E" w:rsidRDefault="00FC292E" w:rsidP="004332CC"/>
    <w:p w:rsidR="00FC292E" w:rsidRDefault="00FC292E" w:rsidP="004332CC"/>
    <w:p w:rsidR="00E27DAE" w:rsidRDefault="00E27DAE" w:rsidP="004332CC">
      <w:r>
        <w:t>Table 4</w:t>
      </w:r>
    </w:p>
    <w:p w:rsidR="00E27DAE" w:rsidRDefault="00E27DAE" w:rsidP="004332CC">
      <w:r w:rsidRPr="00E855AD">
        <w:rPr>
          <w:noProof/>
          <w:lang w:eastAsia="en-NZ"/>
        </w:rPr>
        <w:drawing>
          <wp:inline distT="0" distB="0" distL="0" distR="0" wp14:anchorId="6AD33E3C" wp14:editId="45078606">
            <wp:extent cx="8863330" cy="3879215"/>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63330" cy="3879215"/>
                    </a:xfrm>
                    <a:prstGeom prst="rect">
                      <a:avLst/>
                    </a:prstGeom>
                    <a:noFill/>
                    <a:ln>
                      <a:noFill/>
                    </a:ln>
                  </pic:spPr>
                </pic:pic>
              </a:graphicData>
            </a:graphic>
          </wp:inline>
        </w:drawing>
      </w:r>
    </w:p>
    <w:p w:rsidR="00FC292E" w:rsidRDefault="00FC292E" w:rsidP="004332CC"/>
    <w:p w:rsidR="00FC292E" w:rsidRDefault="00FC292E" w:rsidP="004332CC"/>
    <w:p w:rsidR="00FC292E" w:rsidRDefault="00FC292E" w:rsidP="004332CC"/>
    <w:p w:rsidR="00FC292E" w:rsidRDefault="00FC292E" w:rsidP="004332CC"/>
    <w:p w:rsidR="00FC292E" w:rsidRDefault="00FC292E" w:rsidP="004332CC"/>
    <w:p w:rsidR="00FC292E" w:rsidRDefault="00E27DAE" w:rsidP="004332CC">
      <w:r>
        <w:t>Table 5</w:t>
      </w:r>
    </w:p>
    <w:p w:rsidR="00E27DAE" w:rsidRDefault="00E27DAE" w:rsidP="004332CC">
      <w:r w:rsidRPr="00E855AD">
        <w:rPr>
          <w:noProof/>
          <w:lang w:eastAsia="en-NZ"/>
        </w:rPr>
        <w:drawing>
          <wp:inline distT="0" distB="0" distL="0" distR="0" wp14:anchorId="54C657B9" wp14:editId="5820335E">
            <wp:extent cx="8863330" cy="387901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63330" cy="3879010"/>
                    </a:xfrm>
                    <a:prstGeom prst="rect">
                      <a:avLst/>
                    </a:prstGeom>
                    <a:noFill/>
                    <a:ln>
                      <a:noFill/>
                    </a:ln>
                  </pic:spPr>
                </pic:pic>
              </a:graphicData>
            </a:graphic>
          </wp:inline>
        </w:drawing>
      </w:r>
    </w:p>
    <w:p w:rsidR="00FC292E" w:rsidRDefault="00FC292E" w:rsidP="004332CC"/>
    <w:p w:rsidR="00FC292E" w:rsidRDefault="00FC292E" w:rsidP="004332CC"/>
    <w:p w:rsidR="00FC292E" w:rsidRDefault="00FC292E" w:rsidP="004332CC"/>
    <w:p w:rsidR="00FC292E" w:rsidRDefault="00E27DAE" w:rsidP="004332CC">
      <w:bookmarkStart w:id="0" w:name="_Hlk494096325"/>
      <w:r>
        <w:lastRenderedPageBreak/>
        <w:t xml:space="preserve">Table 6: Participation Rate </w:t>
      </w:r>
      <w:r w:rsidR="005F3D36">
        <w:t>Projection Proba</w:t>
      </w:r>
      <w:r w:rsidR="00FC7DA9">
        <w:t>b</w:t>
      </w:r>
      <w:r w:rsidR="005F3D36">
        <w:t>ilities</w:t>
      </w:r>
      <w:r>
        <w:t xml:space="preserve"> </w:t>
      </w:r>
      <w:r w:rsidR="00FC7DA9">
        <w:t xml:space="preserve">- </w:t>
      </w:r>
      <w:r>
        <w:t xml:space="preserve">Males [Special tabulations from </w:t>
      </w:r>
      <w:proofErr w:type="spellStart"/>
      <w:r>
        <w:t>StatsNZ</w:t>
      </w:r>
      <w:proofErr w:type="spellEnd"/>
      <w:r>
        <w:t>]</w:t>
      </w:r>
    </w:p>
    <w:bookmarkEnd w:id="0"/>
    <w:p w:rsidR="00D863EE" w:rsidRDefault="00E27DAE" w:rsidP="00E27DAE">
      <w:r w:rsidRPr="00E27DAE">
        <w:rPr>
          <w:noProof/>
          <w:lang w:eastAsia="en-NZ"/>
        </w:rPr>
        <w:drawing>
          <wp:inline distT="0" distB="0" distL="0" distR="0">
            <wp:extent cx="8863330" cy="5214250"/>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63330" cy="5214250"/>
                    </a:xfrm>
                    <a:prstGeom prst="rect">
                      <a:avLst/>
                    </a:prstGeom>
                    <a:noFill/>
                    <a:ln>
                      <a:noFill/>
                    </a:ln>
                  </pic:spPr>
                </pic:pic>
              </a:graphicData>
            </a:graphic>
          </wp:inline>
        </w:drawing>
      </w:r>
    </w:p>
    <w:p w:rsidR="00E27DAE" w:rsidRDefault="008B350B" w:rsidP="00E27DAE">
      <w:bookmarkStart w:id="1" w:name="_Hlk494096437"/>
      <w:r>
        <w:lastRenderedPageBreak/>
        <w:t>Table 7</w:t>
      </w:r>
      <w:r w:rsidR="00E27DAE">
        <w:t xml:space="preserve">: Participation Rate </w:t>
      </w:r>
      <w:r w:rsidR="005F3D36">
        <w:t xml:space="preserve">Projection Probabilities </w:t>
      </w:r>
      <w:r w:rsidR="00FC7DA9">
        <w:t xml:space="preserve">- </w:t>
      </w:r>
      <w:r w:rsidR="00D863EE">
        <w:t>Fem</w:t>
      </w:r>
      <w:r w:rsidR="00E27DAE">
        <w:t xml:space="preserve">ales [Special tabulations from </w:t>
      </w:r>
      <w:proofErr w:type="spellStart"/>
      <w:r w:rsidR="00E27DAE">
        <w:t>StatsNZ</w:t>
      </w:r>
      <w:proofErr w:type="spellEnd"/>
      <w:r w:rsidR="00E27DAE">
        <w:t>]</w:t>
      </w:r>
    </w:p>
    <w:bookmarkEnd w:id="1"/>
    <w:p w:rsidR="00E27DAE" w:rsidRDefault="00D863EE" w:rsidP="004332CC">
      <w:r w:rsidRPr="00D863EE">
        <w:rPr>
          <w:noProof/>
          <w:lang w:eastAsia="en-NZ"/>
        </w:rPr>
        <w:drawing>
          <wp:inline distT="0" distB="0" distL="0" distR="0">
            <wp:extent cx="8863330" cy="5214250"/>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863330" cy="5214250"/>
                    </a:xfrm>
                    <a:prstGeom prst="rect">
                      <a:avLst/>
                    </a:prstGeom>
                    <a:noFill/>
                    <a:ln>
                      <a:noFill/>
                    </a:ln>
                  </pic:spPr>
                </pic:pic>
              </a:graphicData>
            </a:graphic>
          </wp:inline>
        </w:drawing>
      </w:r>
    </w:p>
    <w:p w:rsidR="00D863EE" w:rsidRDefault="00D863EE" w:rsidP="00D863EE">
      <w:r>
        <w:lastRenderedPageBreak/>
        <w:t xml:space="preserve">Table </w:t>
      </w:r>
      <w:r w:rsidR="008B350B">
        <w:t>8</w:t>
      </w:r>
      <w:r w:rsidR="00FC7DA9">
        <w:t xml:space="preserve">: Participation Rate Projection Probabilities - </w:t>
      </w:r>
      <w:r>
        <w:t xml:space="preserve">All Older People [Special tabulations from </w:t>
      </w:r>
      <w:proofErr w:type="spellStart"/>
      <w:r>
        <w:t>StatsNZ</w:t>
      </w:r>
      <w:proofErr w:type="spellEnd"/>
      <w:r>
        <w:t>]</w:t>
      </w:r>
    </w:p>
    <w:p w:rsidR="00E27DAE" w:rsidRDefault="00D863EE" w:rsidP="004332CC">
      <w:r w:rsidRPr="00D863EE">
        <w:rPr>
          <w:noProof/>
          <w:lang w:eastAsia="en-NZ"/>
        </w:rPr>
        <w:drawing>
          <wp:inline distT="0" distB="0" distL="0" distR="0">
            <wp:extent cx="8863330" cy="5214250"/>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863330" cy="5214250"/>
                    </a:xfrm>
                    <a:prstGeom prst="rect">
                      <a:avLst/>
                    </a:prstGeom>
                    <a:noFill/>
                    <a:ln>
                      <a:noFill/>
                    </a:ln>
                  </pic:spPr>
                </pic:pic>
              </a:graphicData>
            </a:graphic>
          </wp:inline>
        </w:drawing>
      </w:r>
    </w:p>
    <w:p w:rsidR="005F3D36" w:rsidRDefault="005F3D36" w:rsidP="004332CC">
      <w:pPr>
        <w:sectPr w:rsidR="005F3D36" w:rsidSect="00FC292E">
          <w:pgSz w:w="16838" w:h="11906" w:orient="landscape"/>
          <w:pgMar w:top="1440" w:right="1440" w:bottom="1440" w:left="1440" w:header="708" w:footer="708" w:gutter="0"/>
          <w:cols w:space="708"/>
          <w:docGrid w:linePitch="360"/>
        </w:sectPr>
      </w:pPr>
    </w:p>
    <w:p w:rsidR="00E27DAE" w:rsidRDefault="004C6614" w:rsidP="004C6614">
      <w:pPr>
        <w:spacing w:before="120" w:after="0" w:line="240" w:lineRule="auto"/>
        <w:jc w:val="both"/>
        <w:rPr>
          <w:rFonts w:ascii="Calibri" w:eastAsia="Calibri" w:hAnsi="Calibri" w:cs="Calibri"/>
          <w:b/>
          <w:sz w:val="24"/>
          <w:szCs w:val="24"/>
          <w:lang w:eastAsia="en-US"/>
        </w:rPr>
      </w:pPr>
      <w:r w:rsidRPr="004C6614">
        <w:rPr>
          <w:rFonts w:ascii="Calibri" w:eastAsia="Calibri" w:hAnsi="Calibri" w:cs="Calibri"/>
          <w:b/>
          <w:sz w:val="24"/>
          <w:szCs w:val="24"/>
          <w:lang w:eastAsia="en-US"/>
        </w:rPr>
        <w:lastRenderedPageBreak/>
        <w:t>Remuneration of Older New Zealanders</w:t>
      </w:r>
    </w:p>
    <w:p w:rsidR="001034CF" w:rsidRPr="001034CF" w:rsidRDefault="00454D61" w:rsidP="004C6614">
      <w:pPr>
        <w:spacing w:before="120" w:after="0" w:line="240" w:lineRule="auto"/>
        <w:jc w:val="both"/>
        <w:rPr>
          <w:rFonts w:ascii="Calibri" w:eastAsia="Calibri" w:hAnsi="Calibri" w:cs="Calibri"/>
          <w:lang w:eastAsia="en-US"/>
        </w:rPr>
      </w:pPr>
      <w:r>
        <w:rPr>
          <w:rFonts w:ascii="Calibri" w:eastAsia="Calibri" w:hAnsi="Calibri" w:cs="Calibri"/>
          <w:lang w:eastAsia="en-US"/>
        </w:rPr>
        <w:t xml:space="preserve">In their review, </w:t>
      </w:r>
      <w:proofErr w:type="spellStart"/>
      <w:r w:rsidR="001034CF" w:rsidRPr="001034CF">
        <w:rPr>
          <w:rFonts w:ascii="Calibri" w:eastAsia="Calibri" w:hAnsi="Calibri" w:cs="Calibri"/>
          <w:lang w:eastAsia="en-US"/>
        </w:rPr>
        <w:t>StatsNZ</w:t>
      </w:r>
      <w:proofErr w:type="spellEnd"/>
      <w:r w:rsidR="001034CF" w:rsidRPr="001034CF">
        <w:rPr>
          <w:rFonts w:ascii="Calibri" w:eastAsia="Calibri" w:hAnsi="Calibri" w:cs="Calibri"/>
          <w:lang w:eastAsia="en-US"/>
        </w:rPr>
        <w:t xml:space="preserve"> also questioned the validity of the way in which the earnings data abstracted from the NZ Income Surveys had been incorporated in previous modelling exercises.  </w:t>
      </w:r>
    </w:p>
    <w:p w:rsidR="001034CF" w:rsidRPr="001034CF" w:rsidRDefault="001034CF" w:rsidP="004C6614">
      <w:pPr>
        <w:spacing w:before="120" w:after="0" w:line="240" w:lineRule="auto"/>
        <w:jc w:val="both"/>
        <w:rPr>
          <w:rFonts w:ascii="Calibri" w:eastAsia="Calibri" w:hAnsi="Calibri" w:cs="Calibri"/>
          <w:lang w:eastAsia="en-US"/>
        </w:rPr>
      </w:pPr>
      <w:r w:rsidRPr="001034CF">
        <w:rPr>
          <w:rFonts w:ascii="Calibri" w:eastAsia="Calibri" w:hAnsi="Calibri" w:cs="Calibri"/>
          <w:lang w:eastAsia="en-US"/>
        </w:rPr>
        <w:t xml:space="preserve">The </w:t>
      </w:r>
      <w:r>
        <w:rPr>
          <w:rFonts w:ascii="Calibri" w:eastAsia="Calibri" w:hAnsi="Calibri" w:cs="Calibri"/>
          <w:lang w:eastAsia="en-US"/>
        </w:rPr>
        <w:t>data previously used is shown below in Table 9. This source has the advantage that it differentiates income sources for Older New Zealanders</w:t>
      </w:r>
      <w:r w:rsidR="00454D61">
        <w:rPr>
          <w:rFonts w:ascii="Calibri" w:eastAsia="Calibri" w:hAnsi="Calibri" w:cs="Calibri"/>
          <w:lang w:eastAsia="en-US"/>
        </w:rPr>
        <w:t xml:space="preserve"> by five classes, including Investments and Other Transfers.</w:t>
      </w:r>
      <w:r w:rsidR="00DF302D">
        <w:rPr>
          <w:rFonts w:ascii="Calibri" w:eastAsia="Calibri" w:hAnsi="Calibri" w:cs="Calibri"/>
          <w:lang w:eastAsia="en-US"/>
        </w:rPr>
        <w:t xml:space="preserve"> </w:t>
      </w:r>
    </w:p>
    <w:p w:rsidR="004C6614" w:rsidRDefault="00454D61" w:rsidP="004C6614">
      <w:pPr>
        <w:spacing w:before="120" w:after="0" w:line="240" w:lineRule="auto"/>
        <w:jc w:val="both"/>
        <w:rPr>
          <w:rFonts w:ascii="Calibri" w:eastAsia="Calibri" w:hAnsi="Calibri" w:cs="Calibri"/>
          <w:lang w:eastAsia="en-US"/>
        </w:rPr>
      </w:pPr>
      <w:r>
        <w:rPr>
          <w:rFonts w:ascii="Calibri" w:eastAsia="Calibri" w:hAnsi="Calibri" w:cs="Calibri"/>
          <w:lang w:eastAsia="en-US"/>
        </w:rPr>
        <w:t>Table 9</w:t>
      </w:r>
    </w:p>
    <w:p w:rsidR="00454D61" w:rsidRPr="001034CF" w:rsidRDefault="00454D61" w:rsidP="004C6614">
      <w:pPr>
        <w:spacing w:before="120" w:after="0" w:line="240" w:lineRule="auto"/>
        <w:jc w:val="both"/>
        <w:rPr>
          <w:rFonts w:ascii="Calibri" w:eastAsia="Calibri" w:hAnsi="Calibri" w:cs="Calibri"/>
          <w:lang w:eastAsia="en-US"/>
        </w:rPr>
      </w:pPr>
    </w:p>
    <w:p w:rsidR="004C6614" w:rsidRDefault="004C6614" w:rsidP="004332CC">
      <w:r w:rsidRPr="004C6614">
        <w:rPr>
          <w:noProof/>
          <w:lang w:eastAsia="en-NZ"/>
        </w:rPr>
        <w:drawing>
          <wp:inline distT="0" distB="0" distL="0" distR="0" wp14:anchorId="44162953" wp14:editId="213C3823">
            <wp:extent cx="5343603" cy="6372225"/>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47013" cy="6376291"/>
                    </a:xfrm>
                    <a:prstGeom prst="rect">
                      <a:avLst/>
                    </a:prstGeom>
                    <a:noFill/>
                    <a:ln>
                      <a:noFill/>
                    </a:ln>
                  </pic:spPr>
                </pic:pic>
              </a:graphicData>
            </a:graphic>
          </wp:inline>
        </w:drawing>
      </w:r>
    </w:p>
    <w:p w:rsidR="00454D61" w:rsidRDefault="000E202B" w:rsidP="00454D61">
      <w:pPr>
        <w:jc w:val="both"/>
      </w:pPr>
      <w:r>
        <w:t xml:space="preserve">Stats NZ </w:t>
      </w:r>
      <w:r w:rsidR="00454D61">
        <w:t xml:space="preserve">advised that it would be preferable to use data that specifically relates to defined populations of Older People who receive income from 1. </w:t>
      </w:r>
      <w:proofErr w:type="gramStart"/>
      <w:r w:rsidR="00454D61">
        <w:t>Wages and Salaries, and 2.</w:t>
      </w:r>
      <w:proofErr w:type="gramEnd"/>
      <w:r w:rsidR="00454D61">
        <w:t xml:space="preserve"> </w:t>
      </w:r>
      <w:proofErr w:type="gramStart"/>
      <w:r w:rsidR="00454D61">
        <w:t>Self-employment, as shown in Table 10.</w:t>
      </w:r>
      <w:proofErr w:type="gramEnd"/>
    </w:p>
    <w:p w:rsidR="00454D61" w:rsidRDefault="00454D61" w:rsidP="00454D61">
      <w:pPr>
        <w:jc w:val="both"/>
      </w:pPr>
    </w:p>
    <w:p w:rsidR="00454D61" w:rsidRDefault="00454D61" w:rsidP="00DF302D">
      <w:pPr>
        <w:jc w:val="both"/>
      </w:pPr>
      <w:proofErr w:type="gramStart"/>
      <w:r>
        <w:t>Table 10.</w:t>
      </w:r>
      <w:proofErr w:type="gramEnd"/>
    </w:p>
    <w:p w:rsidR="00DF302D" w:rsidRDefault="00DF302D" w:rsidP="00DF302D">
      <w:pPr>
        <w:jc w:val="both"/>
      </w:pPr>
      <w:r w:rsidRPr="00DF302D">
        <w:rPr>
          <w:noProof/>
          <w:lang w:eastAsia="en-NZ"/>
        </w:rPr>
        <w:drawing>
          <wp:inline distT="0" distB="0" distL="0" distR="0">
            <wp:extent cx="5731510" cy="2328694"/>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1510" cy="2328694"/>
                    </a:xfrm>
                    <a:prstGeom prst="rect">
                      <a:avLst/>
                    </a:prstGeom>
                    <a:noFill/>
                    <a:ln>
                      <a:noFill/>
                    </a:ln>
                  </pic:spPr>
                </pic:pic>
              </a:graphicData>
            </a:graphic>
          </wp:inline>
        </w:drawing>
      </w:r>
    </w:p>
    <w:p w:rsidR="004C6614" w:rsidRPr="00DF302D" w:rsidRDefault="00DF302D" w:rsidP="00DF302D">
      <w:pPr>
        <w:jc w:val="both"/>
      </w:pPr>
      <w:r>
        <w:t xml:space="preserve">As </w:t>
      </w:r>
      <w:proofErr w:type="spellStart"/>
      <w:r>
        <w:t>StatsNZ</w:t>
      </w:r>
      <w:proofErr w:type="spellEnd"/>
      <w:r>
        <w:t xml:space="preserve"> explain:</w:t>
      </w:r>
    </w:p>
    <w:p w:rsidR="007813AB" w:rsidRDefault="00DF302D" w:rsidP="00DF302D">
      <w:pPr>
        <w:jc w:val="both"/>
      </w:pPr>
      <w:r>
        <w:t xml:space="preserve">While earning sources are presented in Table 9 for the population that is defined as those Older New Zealanders </w:t>
      </w:r>
      <w:r w:rsidR="000E202B">
        <w:t xml:space="preserve">who are </w:t>
      </w:r>
      <w:r>
        <w:t xml:space="preserve">‘In Paid Employment’, the </w:t>
      </w:r>
      <w:r w:rsidR="006F4118">
        <w:t>table covers their total incomings - and receipts from each</w:t>
      </w:r>
      <w:r>
        <w:t xml:space="preserve"> category are averaged over the that population in its entirety. For example, there were 114,200 Older New Zealanders who were recorded as </w:t>
      </w:r>
      <w:r w:rsidR="007813AB">
        <w:t>receiving Wages and Salaries and/or remuneration from Self-employment in 2013. Averaged across the 114,200, weekly income from Wages and Salaries was $518 per week.</w:t>
      </w:r>
    </w:p>
    <w:p w:rsidR="007813AB" w:rsidRDefault="007813AB" w:rsidP="00DF302D">
      <w:pPr>
        <w:jc w:val="both"/>
      </w:pPr>
      <w:r>
        <w:t xml:space="preserve">On the other hand, the data in Table 10 shows that </w:t>
      </w:r>
      <w:r w:rsidR="006F4118">
        <w:t xml:space="preserve">there were </w:t>
      </w:r>
      <w:r>
        <w:t xml:space="preserve">80,000 Older New Zealanders </w:t>
      </w:r>
      <w:r w:rsidR="006F4118">
        <w:t xml:space="preserve">who </w:t>
      </w:r>
      <w:r>
        <w:t>specifically received Wages and Salaries in 2013 that averaged $739 per week.</w:t>
      </w:r>
    </w:p>
    <w:p w:rsidR="008554B4" w:rsidRDefault="007813AB" w:rsidP="00DF302D">
      <w:pPr>
        <w:jc w:val="both"/>
      </w:pPr>
      <w:r>
        <w:t xml:space="preserve">In brief, the arguments advanced by </w:t>
      </w:r>
      <w:proofErr w:type="spellStart"/>
      <w:r>
        <w:t>StatsNZ</w:t>
      </w:r>
      <w:proofErr w:type="spellEnd"/>
      <w:r>
        <w:t xml:space="preserve"> were accepted and the Model has been amended accordingly. The adjustment raises average receipts from Paid Employment by 739/518 or 42.6</w:t>
      </w:r>
      <w:r w:rsidR="008554B4">
        <w:t xml:space="preserve"> percent for 2013, for example.</w:t>
      </w:r>
    </w:p>
    <w:p w:rsidR="008554B4" w:rsidRDefault="008554B4" w:rsidP="00DF302D">
      <w:pPr>
        <w:jc w:val="both"/>
      </w:pPr>
      <w:r>
        <w:t xml:space="preserve">A full assessment of these issues lies beyond the scope of this Update but </w:t>
      </w:r>
      <w:r w:rsidR="000E202B">
        <w:t>the tabulations raise two concerns</w:t>
      </w:r>
      <w:r>
        <w:t xml:space="preserve"> that could be explored in future work.</w:t>
      </w:r>
    </w:p>
    <w:p w:rsidR="00DF302D" w:rsidRDefault="008554B4" w:rsidP="008554B4">
      <w:pPr>
        <w:pStyle w:val="ListParagraph"/>
        <w:numPr>
          <w:ilvl w:val="0"/>
          <w:numId w:val="7"/>
        </w:numPr>
        <w:jc w:val="both"/>
      </w:pPr>
      <w:r>
        <w:t>There is considerable variability by year in the figures for receipts other than Government Transfers, which confirms once again the need to recognize that the Model Projections relating to earnings are subject to significant uncertainty</w:t>
      </w:r>
    </w:p>
    <w:p w:rsidR="004C6614" w:rsidRDefault="008554B4" w:rsidP="00D56D16">
      <w:pPr>
        <w:pStyle w:val="ListParagraph"/>
        <w:numPr>
          <w:ilvl w:val="0"/>
          <w:numId w:val="7"/>
        </w:numPr>
        <w:jc w:val="both"/>
      </w:pPr>
      <w:r>
        <w:t xml:space="preserve">Both </w:t>
      </w:r>
      <w:proofErr w:type="spellStart"/>
      <w:r>
        <w:t>StatsNZ</w:t>
      </w:r>
      <w:proofErr w:type="spellEnd"/>
      <w:r>
        <w:t xml:space="preserve"> data sources suggest that earnings of Older New Zealanders [i.e. receipts other than Government Transfers] have been increasing relatively rapidly in recent years </w:t>
      </w:r>
      <w:r w:rsidR="00D56D16">
        <w:t xml:space="preserve">- </w:t>
      </w:r>
      <w:r>
        <w:t>above the rate of national inflation.</w:t>
      </w:r>
    </w:p>
    <w:p w:rsidR="006F4118" w:rsidRDefault="00805DA9" w:rsidP="006F4118">
      <w:pPr>
        <w:jc w:val="both"/>
        <w:rPr>
          <w:rFonts w:ascii="Calibri" w:eastAsia="Calibri" w:hAnsi="Calibri" w:cs="Calibri"/>
          <w:lang w:eastAsia="en-US"/>
        </w:rPr>
      </w:pPr>
      <w:r>
        <w:t>However,</w:t>
      </w:r>
      <w:r w:rsidR="000E202B">
        <w:t xml:space="preserve"> as previously noted,</w:t>
      </w:r>
      <w:r>
        <w:t xml:space="preserve"> the problem with using the data shown in Table 10 for the modelling exercise is that it takes no account of incomings from Investments and Other Transfers – sources of income (rather than earnings) that bear on </w:t>
      </w:r>
      <w:r w:rsidRPr="00F81E94">
        <w:rPr>
          <w:rFonts w:ascii="Calibri" w:eastAsia="Calibri" w:hAnsi="Calibri" w:cs="Calibri"/>
          <w:lang w:eastAsia="en-US"/>
        </w:rPr>
        <w:t xml:space="preserve">the </w:t>
      </w:r>
      <w:r>
        <w:rPr>
          <w:rFonts w:ascii="Calibri" w:eastAsia="Calibri" w:hAnsi="Calibri" w:cs="Calibri"/>
          <w:lang w:eastAsia="en-US"/>
        </w:rPr>
        <w:t>‘</w:t>
      </w:r>
      <w:r w:rsidRPr="00F81E94">
        <w:rPr>
          <w:rFonts w:ascii="Calibri" w:eastAsia="Calibri" w:hAnsi="Calibri" w:cs="Calibri"/>
          <w:lang w:eastAsia="en-US"/>
        </w:rPr>
        <w:t>economic value and business opportunities associated with New Zealand’s increasing population of Older People</w:t>
      </w:r>
      <w:r>
        <w:rPr>
          <w:rFonts w:ascii="Calibri" w:eastAsia="Calibri" w:hAnsi="Calibri" w:cs="Calibri"/>
          <w:lang w:eastAsia="en-US"/>
        </w:rPr>
        <w:t>’.</w:t>
      </w:r>
    </w:p>
    <w:p w:rsidR="00805DA9" w:rsidRPr="00D56D16" w:rsidRDefault="00805DA9" w:rsidP="006F4118">
      <w:pPr>
        <w:jc w:val="both"/>
      </w:pPr>
      <w:r>
        <w:rPr>
          <w:rFonts w:ascii="Calibri" w:eastAsia="Calibri" w:hAnsi="Calibri" w:cs="Calibri"/>
          <w:lang w:eastAsia="en-US"/>
        </w:rPr>
        <w:t xml:space="preserve">The Updated Model therefore uses data drawn from both Tables 9 and 10. </w:t>
      </w:r>
    </w:p>
    <w:p w:rsidR="008739D1" w:rsidRDefault="008739D1" w:rsidP="005F3D36">
      <w:pPr>
        <w:spacing w:before="120" w:after="0" w:line="240" w:lineRule="auto"/>
        <w:jc w:val="both"/>
        <w:rPr>
          <w:rFonts w:ascii="Calibri" w:eastAsia="Calibri" w:hAnsi="Calibri" w:cs="Calibri"/>
          <w:b/>
          <w:sz w:val="24"/>
          <w:szCs w:val="24"/>
          <w:lang w:eastAsia="en-US"/>
        </w:rPr>
      </w:pPr>
    </w:p>
    <w:p w:rsidR="004C6614" w:rsidRPr="004C6614" w:rsidRDefault="004C6614" w:rsidP="005F3D36">
      <w:pPr>
        <w:spacing w:before="120" w:after="0" w:line="240" w:lineRule="auto"/>
        <w:jc w:val="both"/>
        <w:rPr>
          <w:rFonts w:ascii="Calibri" w:eastAsia="Calibri" w:hAnsi="Calibri" w:cs="Calibri"/>
          <w:b/>
          <w:sz w:val="24"/>
          <w:szCs w:val="24"/>
          <w:lang w:eastAsia="en-US"/>
        </w:rPr>
      </w:pPr>
      <w:bookmarkStart w:id="2" w:name="_GoBack"/>
      <w:bookmarkEnd w:id="2"/>
      <w:r w:rsidRPr="004C6614">
        <w:rPr>
          <w:rFonts w:ascii="Calibri" w:eastAsia="Calibri" w:hAnsi="Calibri" w:cs="Calibri"/>
          <w:b/>
          <w:sz w:val="24"/>
          <w:szCs w:val="24"/>
          <w:lang w:eastAsia="en-US"/>
        </w:rPr>
        <w:lastRenderedPageBreak/>
        <w:t xml:space="preserve">Other </w:t>
      </w:r>
      <w:r>
        <w:rPr>
          <w:rFonts w:ascii="Calibri" w:eastAsia="Calibri" w:hAnsi="Calibri" w:cs="Calibri"/>
          <w:b/>
          <w:sz w:val="24"/>
          <w:szCs w:val="24"/>
          <w:lang w:eastAsia="en-US"/>
        </w:rPr>
        <w:t xml:space="preserve">Model Calibration </w:t>
      </w:r>
      <w:r w:rsidR="00D56D16">
        <w:rPr>
          <w:rFonts w:ascii="Calibri" w:eastAsia="Calibri" w:hAnsi="Calibri" w:cs="Calibri"/>
          <w:b/>
          <w:sz w:val="24"/>
          <w:szCs w:val="24"/>
          <w:lang w:eastAsia="en-US"/>
        </w:rPr>
        <w:t>Issues</w:t>
      </w:r>
    </w:p>
    <w:p w:rsidR="005F3D36" w:rsidRDefault="00D56D16" w:rsidP="005F3D36">
      <w:pPr>
        <w:spacing w:before="120" w:after="0" w:line="240" w:lineRule="auto"/>
        <w:jc w:val="both"/>
        <w:rPr>
          <w:rFonts w:ascii="Calibri" w:eastAsia="Calibri" w:hAnsi="Calibri" w:cs="Calibri"/>
          <w:lang w:eastAsia="en-US"/>
        </w:rPr>
      </w:pPr>
      <w:r>
        <w:rPr>
          <w:rFonts w:ascii="Calibri" w:eastAsia="Calibri" w:hAnsi="Calibri" w:cs="Calibri"/>
          <w:lang w:eastAsia="en-US"/>
        </w:rPr>
        <w:t xml:space="preserve">Given the limited objectives of this Update, it was decided to leave the remaining Input coefficients </w:t>
      </w:r>
      <w:r w:rsidR="005F3D36">
        <w:rPr>
          <w:rFonts w:ascii="Calibri" w:eastAsia="Calibri" w:hAnsi="Calibri" w:cs="Calibri"/>
          <w:lang w:eastAsia="en-US"/>
        </w:rPr>
        <w:t xml:space="preserve">as they were in the 2014 Update, while applying a general adjustment for inflation 2014-16. </w:t>
      </w:r>
    </w:p>
    <w:p w:rsidR="005F3D36" w:rsidRDefault="00D56D16" w:rsidP="005F3D36">
      <w:pPr>
        <w:spacing w:before="120" w:after="0" w:line="240" w:lineRule="auto"/>
        <w:jc w:val="both"/>
        <w:rPr>
          <w:rFonts w:ascii="Calibri" w:eastAsia="Calibri" w:hAnsi="Calibri" w:cs="Calibri"/>
          <w:lang w:eastAsia="en-US"/>
        </w:rPr>
      </w:pPr>
      <w:r>
        <w:rPr>
          <w:rFonts w:ascii="Calibri" w:eastAsia="Calibri" w:hAnsi="Calibri" w:cs="Calibri"/>
          <w:lang w:eastAsia="en-US"/>
        </w:rPr>
        <w:t>For example, i</w:t>
      </w:r>
      <w:r w:rsidR="005F3D36">
        <w:rPr>
          <w:rFonts w:ascii="Calibri" w:eastAsia="Calibri" w:hAnsi="Calibri" w:cs="Calibri"/>
          <w:lang w:eastAsia="en-US"/>
        </w:rPr>
        <w:t xml:space="preserve">n the case of the proxy value adopted for Unpaid Work, the figure of $16.10 per hour has been retained [$16.50 per hour in 2016 $] as no higher figures have since been justified. </w:t>
      </w:r>
      <w:proofErr w:type="gramStart"/>
      <w:r w:rsidR="005F3D36">
        <w:rPr>
          <w:rFonts w:ascii="Calibri" w:eastAsia="Calibri" w:hAnsi="Calibri" w:cs="Calibri"/>
          <w:lang w:eastAsia="en-US"/>
        </w:rPr>
        <w:t xml:space="preserve">Similar arguments for retaining the </w:t>
      </w:r>
      <w:r>
        <w:rPr>
          <w:rFonts w:ascii="Calibri" w:eastAsia="Calibri" w:hAnsi="Calibri" w:cs="Calibri"/>
          <w:lang w:eastAsia="en-US"/>
        </w:rPr>
        <w:t xml:space="preserve">other </w:t>
      </w:r>
      <w:r w:rsidR="005F3D36">
        <w:rPr>
          <w:rFonts w:ascii="Calibri" w:eastAsia="Calibri" w:hAnsi="Calibri" w:cs="Calibri"/>
          <w:lang w:eastAsia="en-US"/>
        </w:rPr>
        <w:t>2014 Model Run inputs.</w:t>
      </w:r>
      <w:proofErr w:type="gramEnd"/>
      <w:r w:rsidR="005F3D36">
        <w:rPr>
          <w:rFonts w:ascii="Calibri" w:eastAsia="Calibri" w:hAnsi="Calibri" w:cs="Calibri"/>
          <w:lang w:eastAsia="en-US"/>
        </w:rPr>
        <w:t xml:space="preserve"> </w:t>
      </w:r>
    </w:p>
    <w:p w:rsidR="00BC0F2D" w:rsidRDefault="00D56D16" w:rsidP="005F3D36">
      <w:pPr>
        <w:spacing w:before="120" w:after="0" w:line="240" w:lineRule="auto"/>
        <w:jc w:val="both"/>
        <w:rPr>
          <w:rFonts w:ascii="Calibri" w:eastAsia="Calibri" w:hAnsi="Calibri" w:cs="Calibri"/>
          <w:lang w:eastAsia="en-US"/>
        </w:rPr>
      </w:pPr>
      <w:proofErr w:type="spellStart"/>
      <w:r>
        <w:rPr>
          <w:rFonts w:ascii="Calibri" w:eastAsia="Calibri" w:hAnsi="Calibri" w:cs="Calibri"/>
          <w:lang w:eastAsia="en-US"/>
        </w:rPr>
        <w:t>StatsNZ</w:t>
      </w:r>
      <w:proofErr w:type="spellEnd"/>
      <w:r>
        <w:rPr>
          <w:rFonts w:ascii="Calibri" w:eastAsia="Calibri" w:hAnsi="Calibri" w:cs="Calibri"/>
          <w:lang w:eastAsia="en-US"/>
        </w:rPr>
        <w:t xml:space="preserve"> has questioned some of the fine detail of these inputs </w:t>
      </w:r>
      <w:r w:rsidR="00BC0F2D">
        <w:rPr>
          <w:rFonts w:ascii="Calibri" w:eastAsia="Calibri" w:hAnsi="Calibri" w:cs="Calibri"/>
          <w:lang w:eastAsia="en-US"/>
        </w:rPr>
        <w:t xml:space="preserve">but has </w:t>
      </w:r>
      <w:r>
        <w:rPr>
          <w:rFonts w:ascii="Calibri" w:eastAsia="Calibri" w:hAnsi="Calibri" w:cs="Calibri"/>
          <w:lang w:eastAsia="en-US"/>
        </w:rPr>
        <w:t>not rais</w:t>
      </w:r>
      <w:r w:rsidR="00BC0F2D">
        <w:rPr>
          <w:rFonts w:ascii="Calibri" w:eastAsia="Calibri" w:hAnsi="Calibri" w:cs="Calibri"/>
          <w:lang w:eastAsia="en-US"/>
        </w:rPr>
        <w:t>ed</w:t>
      </w:r>
      <w:r>
        <w:rPr>
          <w:rFonts w:ascii="Calibri" w:eastAsia="Calibri" w:hAnsi="Calibri" w:cs="Calibri"/>
          <w:lang w:eastAsia="en-US"/>
        </w:rPr>
        <w:t xml:space="preserve"> any substantive issues. In all cases, the data concerned has been justified in prior reports of the Business of Ageing Project: </w:t>
      </w:r>
    </w:p>
    <w:p w:rsidR="00D56D16" w:rsidRDefault="00FF3B58" w:rsidP="005F3D36">
      <w:pPr>
        <w:spacing w:before="120" w:after="0" w:line="240" w:lineRule="auto"/>
        <w:jc w:val="both"/>
        <w:rPr>
          <w:rFonts w:ascii="Calibri" w:eastAsia="Calibri" w:hAnsi="Calibri" w:cs="Calibri"/>
          <w:lang w:eastAsia="en-US"/>
        </w:rPr>
      </w:pPr>
      <w:hyperlink r:id="rId20" w:history="1">
        <w:r w:rsidR="00D56D16" w:rsidRPr="007B4CFE">
          <w:rPr>
            <w:rStyle w:val="Hyperlink"/>
            <w:rFonts w:ascii="Calibri" w:eastAsia="Calibri" w:hAnsi="Calibri" w:cs="Calibri"/>
            <w:lang w:eastAsia="en-US"/>
          </w:rPr>
          <w:t>https://www.msd.govt.nz/about-msd-and-our-work/publications-resources/research/business-of-ageing/</w:t>
        </w:r>
      </w:hyperlink>
    </w:p>
    <w:p w:rsidR="005F3D36" w:rsidRDefault="005F3D36" w:rsidP="004332CC"/>
    <w:p w:rsidR="00FC292E" w:rsidRDefault="00FC292E" w:rsidP="004332CC"/>
    <w:p w:rsidR="00FC292E" w:rsidRDefault="00FC292E" w:rsidP="004332CC"/>
    <w:sectPr w:rsidR="00FC292E" w:rsidSect="00E27DA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B58" w:rsidRDefault="00FF3B58" w:rsidP="003D1C8B">
      <w:pPr>
        <w:spacing w:after="0" w:line="240" w:lineRule="auto"/>
      </w:pPr>
      <w:r>
        <w:separator/>
      </w:r>
    </w:p>
  </w:endnote>
  <w:endnote w:type="continuationSeparator" w:id="0">
    <w:p w:rsidR="00FF3B58" w:rsidRDefault="00FF3B58" w:rsidP="003D1C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MS PMincho"/>
    <w:panose1 w:val="00000000000000000000"/>
    <w:charset w:val="80"/>
    <w:family w:val="roman"/>
    <w:notTrueType/>
    <w:pitch w:val="default"/>
  </w:font>
  <w:font w:name="Segoe UI">
    <w:panose1 w:val="020B0502040204020203"/>
    <w:charset w:val="00"/>
    <w:family w:val="swiss"/>
    <w:pitch w:val="variable"/>
    <w:sig w:usb0="E10022FF" w:usb1="C000E47F" w:usb2="00000029" w:usb3="00000000" w:csb0="000001DF" w:csb1="00000000"/>
  </w:font>
  <w:font w:name="Arial Mäori">
    <w:panose1 w:val="020B0604020202020204"/>
    <w:charset w:val="00"/>
    <w:family w:val="swiss"/>
    <w:pitch w:val="variable"/>
    <w:sig w:usb0="00000003" w:usb1="00000000" w:usb2="00000000" w:usb3="00000000" w:csb0="00000001" w:csb1="00000000"/>
  </w:font>
  <w:font w:name="等线 Light">
    <w:panose1 w:val="00000000000000000000"/>
    <w:charset w:val="80"/>
    <w:family w:val="roman"/>
    <w:notTrueType/>
    <w:pitch w:val="default"/>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1090096"/>
      <w:docPartObj>
        <w:docPartGallery w:val="Page Numbers (Bottom of Page)"/>
        <w:docPartUnique/>
      </w:docPartObj>
    </w:sdtPr>
    <w:sdtEndPr>
      <w:rPr>
        <w:noProof/>
      </w:rPr>
    </w:sdtEndPr>
    <w:sdtContent>
      <w:p w:rsidR="007813AB" w:rsidRDefault="007813AB">
        <w:pPr>
          <w:pStyle w:val="Footer"/>
          <w:jc w:val="right"/>
        </w:pPr>
        <w:r>
          <w:fldChar w:fldCharType="begin"/>
        </w:r>
        <w:r>
          <w:instrText xml:space="preserve"> PAGE   \* MERGEFORMAT </w:instrText>
        </w:r>
        <w:r>
          <w:fldChar w:fldCharType="separate"/>
        </w:r>
        <w:r w:rsidR="008739D1">
          <w:rPr>
            <w:noProof/>
          </w:rPr>
          <w:t>15</w:t>
        </w:r>
        <w:r>
          <w:rPr>
            <w:noProof/>
          </w:rPr>
          <w:fldChar w:fldCharType="end"/>
        </w:r>
      </w:p>
    </w:sdtContent>
  </w:sdt>
  <w:p w:rsidR="007813AB" w:rsidRDefault="007813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B58" w:rsidRDefault="00FF3B58" w:rsidP="003D1C8B">
      <w:pPr>
        <w:spacing w:after="0" w:line="240" w:lineRule="auto"/>
      </w:pPr>
      <w:r>
        <w:separator/>
      </w:r>
    </w:p>
  </w:footnote>
  <w:footnote w:type="continuationSeparator" w:id="0">
    <w:p w:rsidR="00FF3B58" w:rsidRDefault="00FF3B58" w:rsidP="003D1C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F4963"/>
    <w:multiLevelType w:val="hybridMultilevel"/>
    <w:tmpl w:val="A9605EE4"/>
    <w:lvl w:ilvl="0" w:tplc="918E9690">
      <w:start w:val="1"/>
      <w:numFmt w:val="upperLetter"/>
      <w:lvlText w:val="%1."/>
      <w:lvlJc w:val="left"/>
      <w:pPr>
        <w:ind w:left="1080" w:hanging="360"/>
      </w:pPr>
      <w:rPr>
        <w:rFonts w:ascii="Calibri" w:eastAsia="Calibri" w:hAnsi="Calibri" w:cs="Calibri"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
    <w:nsid w:val="19725233"/>
    <w:multiLevelType w:val="hybridMultilevel"/>
    <w:tmpl w:val="5F3A89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2B0C1A69"/>
    <w:multiLevelType w:val="hybridMultilevel"/>
    <w:tmpl w:val="EE189796"/>
    <w:lvl w:ilvl="0" w:tplc="14090001">
      <w:start w:val="1"/>
      <w:numFmt w:val="bullet"/>
      <w:lvlText w:val=""/>
      <w:lvlJc w:val="left"/>
      <w:pPr>
        <w:ind w:left="1470" w:hanging="360"/>
      </w:pPr>
      <w:rPr>
        <w:rFonts w:ascii="Symbol" w:hAnsi="Symbol" w:hint="default"/>
      </w:rPr>
    </w:lvl>
    <w:lvl w:ilvl="1" w:tplc="14090003" w:tentative="1">
      <w:start w:val="1"/>
      <w:numFmt w:val="bullet"/>
      <w:lvlText w:val="o"/>
      <w:lvlJc w:val="left"/>
      <w:pPr>
        <w:ind w:left="2190" w:hanging="360"/>
      </w:pPr>
      <w:rPr>
        <w:rFonts w:ascii="Courier New" w:hAnsi="Courier New" w:cs="Courier New" w:hint="default"/>
      </w:rPr>
    </w:lvl>
    <w:lvl w:ilvl="2" w:tplc="14090005" w:tentative="1">
      <w:start w:val="1"/>
      <w:numFmt w:val="bullet"/>
      <w:lvlText w:val=""/>
      <w:lvlJc w:val="left"/>
      <w:pPr>
        <w:ind w:left="2910" w:hanging="360"/>
      </w:pPr>
      <w:rPr>
        <w:rFonts w:ascii="Wingdings" w:hAnsi="Wingdings" w:hint="default"/>
      </w:rPr>
    </w:lvl>
    <w:lvl w:ilvl="3" w:tplc="14090001" w:tentative="1">
      <w:start w:val="1"/>
      <w:numFmt w:val="bullet"/>
      <w:lvlText w:val=""/>
      <w:lvlJc w:val="left"/>
      <w:pPr>
        <w:ind w:left="3630" w:hanging="360"/>
      </w:pPr>
      <w:rPr>
        <w:rFonts w:ascii="Symbol" w:hAnsi="Symbol" w:hint="default"/>
      </w:rPr>
    </w:lvl>
    <w:lvl w:ilvl="4" w:tplc="14090003" w:tentative="1">
      <w:start w:val="1"/>
      <w:numFmt w:val="bullet"/>
      <w:lvlText w:val="o"/>
      <w:lvlJc w:val="left"/>
      <w:pPr>
        <w:ind w:left="4350" w:hanging="360"/>
      </w:pPr>
      <w:rPr>
        <w:rFonts w:ascii="Courier New" w:hAnsi="Courier New" w:cs="Courier New" w:hint="default"/>
      </w:rPr>
    </w:lvl>
    <w:lvl w:ilvl="5" w:tplc="14090005" w:tentative="1">
      <w:start w:val="1"/>
      <w:numFmt w:val="bullet"/>
      <w:lvlText w:val=""/>
      <w:lvlJc w:val="left"/>
      <w:pPr>
        <w:ind w:left="5070" w:hanging="360"/>
      </w:pPr>
      <w:rPr>
        <w:rFonts w:ascii="Wingdings" w:hAnsi="Wingdings" w:hint="default"/>
      </w:rPr>
    </w:lvl>
    <w:lvl w:ilvl="6" w:tplc="14090001" w:tentative="1">
      <w:start w:val="1"/>
      <w:numFmt w:val="bullet"/>
      <w:lvlText w:val=""/>
      <w:lvlJc w:val="left"/>
      <w:pPr>
        <w:ind w:left="5790" w:hanging="360"/>
      </w:pPr>
      <w:rPr>
        <w:rFonts w:ascii="Symbol" w:hAnsi="Symbol" w:hint="default"/>
      </w:rPr>
    </w:lvl>
    <w:lvl w:ilvl="7" w:tplc="14090003" w:tentative="1">
      <w:start w:val="1"/>
      <w:numFmt w:val="bullet"/>
      <w:lvlText w:val="o"/>
      <w:lvlJc w:val="left"/>
      <w:pPr>
        <w:ind w:left="6510" w:hanging="360"/>
      </w:pPr>
      <w:rPr>
        <w:rFonts w:ascii="Courier New" w:hAnsi="Courier New" w:cs="Courier New" w:hint="default"/>
      </w:rPr>
    </w:lvl>
    <w:lvl w:ilvl="8" w:tplc="14090005" w:tentative="1">
      <w:start w:val="1"/>
      <w:numFmt w:val="bullet"/>
      <w:lvlText w:val=""/>
      <w:lvlJc w:val="left"/>
      <w:pPr>
        <w:ind w:left="7230" w:hanging="360"/>
      </w:pPr>
      <w:rPr>
        <w:rFonts w:ascii="Wingdings" w:hAnsi="Wingdings" w:hint="default"/>
      </w:rPr>
    </w:lvl>
  </w:abstractNum>
  <w:abstractNum w:abstractNumId="3">
    <w:nsid w:val="43D50982"/>
    <w:multiLevelType w:val="hybridMultilevel"/>
    <w:tmpl w:val="9D94E7C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44DA29D2"/>
    <w:multiLevelType w:val="hybridMultilevel"/>
    <w:tmpl w:val="3B08EC5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479E2B94"/>
    <w:multiLevelType w:val="hybridMultilevel"/>
    <w:tmpl w:val="18B2B16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77110828"/>
    <w:multiLevelType w:val="hybridMultilevel"/>
    <w:tmpl w:val="9B9077E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19B"/>
    <w:rsid w:val="00073762"/>
    <w:rsid w:val="00084BB3"/>
    <w:rsid w:val="000B60B6"/>
    <w:rsid w:val="000E15FE"/>
    <w:rsid w:val="000E202B"/>
    <w:rsid w:val="001034CF"/>
    <w:rsid w:val="00132145"/>
    <w:rsid w:val="00191308"/>
    <w:rsid w:val="001E0DDA"/>
    <w:rsid w:val="00293304"/>
    <w:rsid w:val="002B3C2D"/>
    <w:rsid w:val="002E0E9C"/>
    <w:rsid w:val="003411A8"/>
    <w:rsid w:val="003A5C92"/>
    <w:rsid w:val="003D1424"/>
    <w:rsid w:val="003D1C8B"/>
    <w:rsid w:val="004332CC"/>
    <w:rsid w:val="00444E1F"/>
    <w:rsid w:val="00445385"/>
    <w:rsid w:val="00454D61"/>
    <w:rsid w:val="004C33C6"/>
    <w:rsid w:val="004C6614"/>
    <w:rsid w:val="005355DE"/>
    <w:rsid w:val="005D40CD"/>
    <w:rsid w:val="005E58E8"/>
    <w:rsid w:val="005F3D36"/>
    <w:rsid w:val="0065219B"/>
    <w:rsid w:val="00687000"/>
    <w:rsid w:val="006C4960"/>
    <w:rsid w:val="006E3211"/>
    <w:rsid w:val="006F4118"/>
    <w:rsid w:val="006F7C76"/>
    <w:rsid w:val="0071511E"/>
    <w:rsid w:val="00755C5A"/>
    <w:rsid w:val="00765104"/>
    <w:rsid w:val="00766B70"/>
    <w:rsid w:val="007813AB"/>
    <w:rsid w:val="007D5451"/>
    <w:rsid w:val="007E1EA1"/>
    <w:rsid w:val="00805DA9"/>
    <w:rsid w:val="008251E0"/>
    <w:rsid w:val="008521E1"/>
    <w:rsid w:val="008554B4"/>
    <w:rsid w:val="008702A4"/>
    <w:rsid w:val="008739D1"/>
    <w:rsid w:val="008747B4"/>
    <w:rsid w:val="00884650"/>
    <w:rsid w:val="008B350B"/>
    <w:rsid w:val="008F2136"/>
    <w:rsid w:val="00914DF4"/>
    <w:rsid w:val="00950ACA"/>
    <w:rsid w:val="00987776"/>
    <w:rsid w:val="009F5DD3"/>
    <w:rsid w:val="00A054CF"/>
    <w:rsid w:val="00A05ED3"/>
    <w:rsid w:val="00A60107"/>
    <w:rsid w:val="00B1212D"/>
    <w:rsid w:val="00B179FB"/>
    <w:rsid w:val="00B832C3"/>
    <w:rsid w:val="00BC0F2D"/>
    <w:rsid w:val="00BE6AE4"/>
    <w:rsid w:val="00C452DD"/>
    <w:rsid w:val="00D233E2"/>
    <w:rsid w:val="00D30B80"/>
    <w:rsid w:val="00D333E3"/>
    <w:rsid w:val="00D56D16"/>
    <w:rsid w:val="00D778BC"/>
    <w:rsid w:val="00D863EE"/>
    <w:rsid w:val="00D903E7"/>
    <w:rsid w:val="00D97868"/>
    <w:rsid w:val="00DF1BDB"/>
    <w:rsid w:val="00DF302D"/>
    <w:rsid w:val="00E27DAE"/>
    <w:rsid w:val="00E349E8"/>
    <w:rsid w:val="00E855AD"/>
    <w:rsid w:val="00F17F05"/>
    <w:rsid w:val="00F8047D"/>
    <w:rsid w:val="00F81E94"/>
    <w:rsid w:val="00F92E5E"/>
    <w:rsid w:val="00FC292E"/>
    <w:rsid w:val="00FC2C5D"/>
    <w:rsid w:val="00FC7DA9"/>
    <w:rsid w:val="00FE6E92"/>
    <w:rsid w:val="00FF3B58"/>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55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5DE"/>
    <w:rPr>
      <w:rFonts w:ascii="Segoe UI" w:hAnsi="Segoe UI" w:cs="Segoe UI"/>
      <w:sz w:val="18"/>
      <w:szCs w:val="18"/>
    </w:rPr>
  </w:style>
  <w:style w:type="paragraph" w:styleId="ListParagraph">
    <w:name w:val="List Paragraph"/>
    <w:basedOn w:val="Normal"/>
    <w:uiPriority w:val="34"/>
    <w:qFormat/>
    <w:rsid w:val="0071511E"/>
    <w:pPr>
      <w:ind w:left="720"/>
      <w:contextualSpacing/>
    </w:pPr>
  </w:style>
  <w:style w:type="paragraph" w:styleId="Header">
    <w:name w:val="header"/>
    <w:basedOn w:val="Normal"/>
    <w:link w:val="HeaderChar"/>
    <w:uiPriority w:val="99"/>
    <w:unhideWhenUsed/>
    <w:rsid w:val="003D1C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1C8B"/>
  </w:style>
  <w:style w:type="paragraph" w:styleId="Footer">
    <w:name w:val="footer"/>
    <w:basedOn w:val="Normal"/>
    <w:link w:val="FooterChar"/>
    <w:uiPriority w:val="99"/>
    <w:unhideWhenUsed/>
    <w:rsid w:val="003D1C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1C8B"/>
  </w:style>
  <w:style w:type="character" w:styleId="Hyperlink">
    <w:name w:val="Hyperlink"/>
    <w:basedOn w:val="DefaultParagraphFont"/>
    <w:uiPriority w:val="99"/>
    <w:unhideWhenUsed/>
    <w:rsid w:val="005F3D36"/>
    <w:rPr>
      <w:color w:val="0563C1" w:themeColor="hyperlink"/>
      <w:u w:val="single"/>
    </w:rPr>
  </w:style>
  <w:style w:type="character" w:customStyle="1" w:styleId="UnresolvedMention">
    <w:name w:val="Unresolved Mention"/>
    <w:basedOn w:val="DefaultParagraphFont"/>
    <w:uiPriority w:val="99"/>
    <w:semiHidden/>
    <w:unhideWhenUsed/>
    <w:rsid w:val="005F3D3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55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5DE"/>
    <w:rPr>
      <w:rFonts w:ascii="Segoe UI" w:hAnsi="Segoe UI" w:cs="Segoe UI"/>
      <w:sz w:val="18"/>
      <w:szCs w:val="18"/>
    </w:rPr>
  </w:style>
  <w:style w:type="paragraph" w:styleId="ListParagraph">
    <w:name w:val="List Paragraph"/>
    <w:basedOn w:val="Normal"/>
    <w:uiPriority w:val="34"/>
    <w:qFormat/>
    <w:rsid w:val="0071511E"/>
    <w:pPr>
      <w:ind w:left="720"/>
      <w:contextualSpacing/>
    </w:pPr>
  </w:style>
  <w:style w:type="paragraph" w:styleId="Header">
    <w:name w:val="header"/>
    <w:basedOn w:val="Normal"/>
    <w:link w:val="HeaderChar"/>
    <w:uiPriority w:val="99"/>
    <w:unhideWhenUsed/>
    <w:rsid w:val="003D1C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1C8B"/>
  </w:style>
  <w:style w:type="paragraph" w:styleId="Footer">
    <w:name w:val="footer"/>
    <w:basedOn w:val="Normal"/>
    <w:link w:val="FooterChar"/>
    <w:uiPriority w:val="99"/>
    <w:unhideWhenUsed/>
    <w:rsid w:val="003D1C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1C8B"/>
  </w:style>
  <w:style w:type="character" w:styleId="Hyperlink">
    <w:name w:val="Hyperlink"/>
    <w:basedOn w:val="DefaultParagraphFont"/>
    <w:uiPriority w:val="99"/>
    <w:unhideWhenUsed/>
    <w:rsid w:val="005F3D36"/>
    <w:rPr>
      <w:color w:val="0563C1" w:themeColor="hyperlink"/>
      <w:u w:val="single"/>
    </w:rPr>
  </w:style>
  <w:style w:type="character" w:customStyle="1" w:styleId="UnresolvedMention">
    <w:name w:val="Unresolved Mention"/>
    <w:basedOn w:val="DefaultParagraphFont"/>
    <w:uiPriority w:val="99"/>
    <w:semiHidden/>
    <w:unhideWhenUsed/>
    <w:rsid w:val="005F3D3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424993">
      <w:bodyDiv w:val="1"/>
      <w:marLeft w:val="0"/>
      <w:marRight w:val="0"/>
      <w:marTop w:val="0"/>
      <w:marBottom w:val="0"/>
      <w:divBdr>
        <w:top w:val="none" w:sz="0" w:space="0" w:color="auto"/>
        <w:left w:val="none" w:sz="0" w:space="0" w:color="auto"/>
        <w:bottom w:val="none" w:sz="0" w:space="0" w:color="auto"/>
        <w:right w:val="none" w:sz="0" w:space="0" w:color="auto"/>
      </w:divBdr>
    </w:div>
    <w:div w:id="1511916128">
      <w:bodyDiv w:val="1"/>
      <w:marLeft w:val="0"/>
      <w:marRight w:val="0"/>
      <w:marTop w:val="0"/>
      <w:marBottom w:val="0"/>
      <w:divBdr>
        <w:top w:val="none" w:sz="0" w:space="0" w:color="auto"/>
        <w:left w:val="none" w:sz="0" w:space="0" w:color="auto"/>
        <w:bottom w:val="none" w:sz="0" w:space="0" w:color="auto"/>
        <w:right w:val="none" w:sz="0" w:space="0" w:color="auto"/>
      </w:divBdr>
    </w:div>
    <w:div w:id="1595165948">
      <w:bodyDiv w:val="1"/>
      <w:marLeft w:val="0"/>
      <w:marRight w:val="0"/>
      <w:marTop w:val="0"/>
      <w:marBottom w:val="0"/>
      <w:divBdr>
        <w:top w:val="none" w:sz="0" w:space="0" w:color="auto"/>
        <w:left w:val="none" w:sz="0" w:space="0" w:color="auto"/>
        <w:bottom w:val="none" w:sz="0" w:space="0" w:color="auto"/>
        <w:right w:val="none" w:sz="0" w:space="0" w:color="auto"/>
      </w:divBdr>
    </w:div>
    <w:div w:id="1615281181">
      <w:bodyDiv w:val="1"/>
      <w:marLeft w:val="0"/>
      <w:marRight w:val="0"/>
      <w:marTop w:val="0"/>
      <w:marBottom w:val="0"/>
      <w:divBdr>
        <w:top w:val="none" w:sz="0" w:space="0" w:color="auto"/>
        <w:left w:val="none" w:sz="0" w:space="0" w:color="auto"/>
        <w:bottom w:val="none" w:sz="0" w:space="0" w:color="auto"/>
        <w:right w:val="none" w:sz="0" w:space="0" w:color="auto"/>
      </w:divBdr>
    </w:div>
    <w:div w:id="1810124294">
      <w:bodyDiv w:val="1"/>
      <w:marLeft w:val="0"/>
      <w:marRight w:val="0"/>
      <w:marTop w:val="0"/>
      <w:marBottom w:val="0"/>
      <w:divBdr>
        <w:top w:val="none" w:sz="0" w:space="0" w:color="auto"/>
        <w:left w:val="none" w:sz="0" w:space="0" w:color="auto"/>
        <w:bottom w:val="none" w:sz="0" w:space="0" w:color="auto"/>
        <w:right w:val="none" w:sz="0" w:space="0" w:color="auto"/>
      </w:divBdr>
    </w:div>
    <w:div w:id="192545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sd.govt.nz/about-msd-and-our-work/publications-resources/research/business-of-ageing/" TargetMode="External"/><Relationship Id="rId13" Type="http://schemas.openxmlformats.org/officeDocument/2006/relationships/image" Target="media/image4.emf"/><Relationship Id="rId18" Type="http://schemas.openxmlformats.org/officeDocument/2006/relationships/image" Target="media/image9.emf"/><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hyperlink" Target="https://www.msd.govt.nz/about-msd-and-our-work/publications-resources/research/business-of-agein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image" Target="media/image1.emf"/><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2157</Words>
  <Characters>12295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Ministry of Social Development</Company>
  <LinksUpToDate>false</LinksUpToDate>
  <CharactersWithSpaces>14424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Keith Johnson</dc:creator>
  <cp:lastModifiedBy>Lee Orchard</cp:lastModifiedBy>
  <cp:revision>4</cp:revision>
  <cp:lastPrinted>2017-10-11T03:15:00Z</cp:lastPrinted>
  <dcterms:created xsi:type="dcterms:W3CDTF">2017-10-13T01:00:00Z</dcterms:created>
  <dcterms:modified xsi:type="dcterms:W3CDTF">2017-10-31T21:47:00Z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A10019515</vt:lpwstr>
  </property>
  <property fmtid="{D5CDD505-2E9C-101B-9397-08002B2CF9AE}" pid="4" name="Objective-Title">
    <vt:lpwstr>FINAL FINAL REPORT Report September 2017</vt:lpwstr>
  </property>
  <property fmtid="{D5CDD505-2E9C-101B-9397-08002B2CF9AE}" pid="5" name="Objective-Comment">
    <vt:lpwstr/>
  </property>
  <property fmtid="{D5CDD505-2E9C-101B-9397-08002B2CF9AE}" pid="6" name="Objective-CreationStamp">
    <vt:filetime>2017-10-13T01:01:18Z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2017-11-05T21:48:49Z</vt:filetime>
  </property>
  <property fmtid="{D5CDD505-2E9C-101B-9397-08002B2CF9AE}" pid="11" name="Objective-Owner">
    <vt:lpwstr>Shirley Nesbit</vt:lpwstr>
  </property>
  <property fmtid="{D5CDD505-2E9C-101B-9397-08002B2CF9AE}" pid="12" name="Objective-Path">
    <vt:lpwstr>Global Folder:MSD INFORMATION REPOSITORY:Office &amp; Ministries:Office for Seniors:1. Office for Seniors file structure from 2016:Projects, campaigns and production:Business of Ageing:2017 Update:</vt:lpwstr>
  </property>
  <property fmtid="{D5CDD505-2E9C-101B-9397-08002B2CF9AE}" pid="13" name="Objective-Parent">
    <vt:lpwstr>2017 Update</vt:lpwstr>
  </property>
  <property fmtid="{D5CDD505-2E9C-101B-9397-08002B2CF9AE}" pid="14" name="Objective-State">
    <vt:lpwstr>Being Drafted</vt:lpwstr>
  </property>
  <property fmtid="{D5CDD505-2E9C-101B-9397-08002B2CF9AE}" pid="15" name="Objective-Version">
    <vt:lpwstr>0.4</vt:lpwstr>
  </property>
  <property fmtid="{D5CDD505-2E9C-101B-9397-08002B2CF9AE}" pid="16" name="Objective-VersionNumber">
    <vt:r8>4</vt:r8>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In Confidence]</vt:lpwstr>
  </property>
  <property fmtid="{D5CDD505-2E9C-101B-9397-08002B2CF9AE}" pid="20" name="Objective-Caveats">
    <vt:lpwstr/>
  </property>
  <property fmtid="{D5CDD505-2E9C-101B-9397-08002B2CF9AE}" pid="21" name="Objective-Document Status [system]">
    <vt:lpwstr>Work in Progress</vt:lpwstr>
  </property>
  <property fmtid="{D5CDD505-2E9C-101B-9397-08002B2CF9AE}" pid="22" name="Objective-Email is Vaulted? [system]">
    <vt:lpwstr/>
  </property>
</Properties>
</file>